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F0" w:rsidRPr="00D00CF0" w:rsidRDefault="00D00CF0" w:rsidP="00D00CF0">
      <w:pPr>
        <w:widowControl/>
        <w:spacing w:before="145" w:line="560" w:lineRule="atLeast"/>
        <w:jc w:val="center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方正小标宋简体" w:eastAsia="方正小标宋简体" w:hAnsi="方正小标宋简体" w:cs="Calibri" w:hint="eastAsia"/>
          <w:kern w:val="0"/>
          <w:sz w:val="44"/>
        </w:rPr>
        <w:t>关于印发《江西“百县百日”文旅消费季</w:t>
      </w:r>
    </w:p>
    <w:p w:rsidR="00D00CF0" w:rsidRPr="00D00CF0" w:rsidRDefault="00D00CF0" w:rsidP="00D00CF0">
      <w:pPr>
        <w:widowControl/>
        <w:spacing w:before="145" w:line="560" w:lineRule="atLeast"/>
        <w:jc w:val="center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方正小标宋简体" w:eastAsia="方正小标宋简体" w:hAnsi="方正小标宋简体" w:cs="Calibri" w:hint="eastAsia"/>
          <w:kern w:val="0"/>
          <w:sz w:val="44"/>
        </w:rPr>
        <w:t>赣州分会场文旅消费活动方案》的通知</w:t>
      </w:r>
    </w:p>
    <w:p w:rsidR="00D00CF0" w:rsidRPr="00D00CF0" w:rsidRDefault="00D00CF0" w:rsidP="00D00C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D00CF0">
        <w:rPr>
          <w:rFonts w:ascii="Calibri" w:eastAsia="宋体" w:hAnsi="Calibri" w:cs="Calibri"/>
          <w:kern w:val="0"/>
          <w:szCs w:val="21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</w:rPr>
        <w:t>各县（市、区）文广新旅局、财政局</w:t>
      </w:r>
      <w:r w:rsidRPr="00D00CF0">
        <w:rPr>
          <w:rFonts w:ascii="仿宋_GB2312" w:eastAsia="仿宋_GB2312" w:hAnsi="宋体" w:cs="Calibri" w:hint="eastAsia"/>
          <w:kern w:val="0"/>
          <w:sz w:val="32"/>
        </w:rPr>
        <w:t>：</w:t>
      </w:r>
    </w:p>
    <w:p w:rsidR="00D00CF0" w:rsidRPr="00D00CF0" w:rsidRDefault="00D00CF0" w:rsidP="00D00CF0">
      <w:pPr>
        <w:widowControl/>
        <w:spacing w:line="560" w:lineRule="atLeast"/>
        <w:ind w:firstLine="640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</w:rPr>
        <w:t>经市政府同意，现将《</w:t>
      </w:r>
      <w:r w:rsidRPr="00D00CF0">
        <w:rPr>
          <w:rFonts w:ascii="仿宋_GB2312" w:eastAsia="仿宋_GB2312" w:hAnsi="宋体" w:cs="Calibri" w:hint="eastAsia"/>
          <w:kern w:val="0"/>
          <w:sz w:val="32"/>
        </w:rPr>
        <w:t>江西</w:t>
      </w:r>
      <w:r w:rsidRPr="00D00CF0">
        <w:rPr>
          <w:rFonts w:ascii="仿宋_GB2312" w:eastAsia="仿宋_GB2312" w:hAnsi="Calibri" w:cs="Calibri" w:hint="eastAsia"/>
          <w:kern w:val="0"/>
          <w:sz w:val="32"/>
        </w:rPr>
        <w:t>“百县百日”文旅消费季赣州分会场文旅消费</w:t>
      </w:r>
      <w:r w:rsidRPr="00D00CF0">
        <w:rPr>
          <w:rFonts w:ascii="仿宋_GB2312" w:eastAsia="仿宋_GB2312" w:hAnsi="宋体" w:cs="Calibri" w:hint="eastAsia"/>
          <w:kern w:val="0"/>
          <w:sz w:val="32"/>
        </w:rPr>
        <w:t>活动</w:t>
      </w:r>
      <w:r w:rsidRPr="00D00CF0">
        <w:rPr>
          <w:rFonts w:ascii="仿宋_GB2312" w:eastAsia="仿宋_GB2312" w:hAnsi="Calibri" w:cs="Calibri" w:hint="eastAsia"/>
          <w:kern w:val="0"/>
          <w:sz w:val="32"/>
        </w:rPr>
        <w:t>方案》印发给你们，认真遵照执行。</w:t>
      </w:r>
    </w:p>
    <w:p w:rsidR="00D00CF0" w:rsidRPr="00D00CF0" w:rsidRDefault="00D00CF0" w:rsidP="00D00CF0">
      <w:pPr>
        <w:widowControl/>
        <w:spacing w:before="100" w:beforeAutospacing="1" w:after="100" w:afterAutospacing="1" w:line="560" w:lineRule="atLeast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D00CF0">
        <w:rPr>
          <w:rFonts w:ascii="Calibri" w:eastAsia="宋体" w:hAnsi="Calibri" w:cs="Calibri"/>
          <w:kern w:val="0"/>
          <w:szCs w:val="21"/>
        </w:rPr>
        <w:t> </w:t>
      </w:r>
    </w:p>
    <w:p w:rsidR="00D00CF0" w:rsidRPr="00D00CF0" w:rsidRDefault="00D00CF0" w:rsidP="00D00CF0">
      <w:pPr>
        <w:widowControl/>
        <w:spacing w:line="560" w:lineRule="atLeast"/>
        <w:ind w:left="1918" w:hanging="128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宋体" w:cs="Calibri" w:hint="eastAsia"/>
          <w:kern w:val="0"/>
          <w:sz w:val="32"/>
        </w:rPr>
        <w:t>附件：</w:t>
      </w:r>
      <w:r w:rsidRPr="00D00CF0">
        <w:rPr>
          <w:rFonts w:ascii="仿宋_GB2312" w:eastAsia="仿宋_GB2312" w:hAnsi="Calibri" w:cs="Calibri" w:hint="eastAsia"/>
          <w:kern w:val="0"/>
          <w:sz w:val="32"/>
        </w:rPr>
        <w:t>《</w:t>
      </w:r>
      <w:r w:rsidRPr="00D00CF0">
        <w:rPr>
          <w:rFonts w:ascii="仿宋_GB2312" w:eastAsia="仿宋_GB2312" w:hAnsi="宋体" w:cs="Calibri" w:hint="eastAsia"/>
          <w:kern w:val="0"/>
          <w:sz w:val="32"/>
        </w:rPr>
        <w:t>江西</w:t>
      </w:r>
      <w:r w:rsidRPr="00D00CF0">
        <w:rPr>
          <w:rFonts w:ascii="仿宋_GB2312" w:eastAsia="仿宋_GB2312" w:hAnsi="Calibri" w:cs="Calibri" w:hint="eastAsia"/>
          <w:kern w:val="0"/>
          <w:sz w:val="32"/>
        </w:rPr>
        <w:t>“百县百日”文旅消费季赣州分会场文旅消费</w:t>
      </w:r>
      <w:r w:rsidRPr="00D00CF0">
        <w:rPr>
          <w:rFonts w:ascii="仿宋_GB2312" w:eastAsia="仿宋_GB2312" w:hAnsi="宋体" w:cs="Calibri" w:hint="eastAsia"/>
          <w:kern w:val="0"/>
          <w:sz w:val="32"/>
        </w:rPr>
        <w:t>活动</w:t>
      </w:r>
      <w:r w:rsidRPr="00D00CF0">
        <w:rPr>
          <w:rFonts w:ascii="仿宋_GB2312" w:eastAsia="仿宋_GB2312" w:hAnsi="Calibri" w:cs="Calibri" w:hint="eastAsia"/>
          <w:kern w:val="0"/>
          <w:sz w:val="32"/>
        </w:rPr>
        <w:t>方案》</w:t>
      </w:r>
    </w:p>
    <w:p w:rsidR="00D00CF0" w:rsidRPr="00D00CF0" w:rsidRDefault="00D00CF0" w:rsidP="00D00CF0">
      <w:pPr>
        <w:widowControl/>
        <w:spacing w:before="100" w:beforeAutospacing="1" w:after="100" w:afterAutospacing="1" w:line="560" w:lineRule="atLeast"/>
        <w:jc w:val="left"/>
        <w:textAlignment w:val="baseline"/>
        <w:rPr>
          <w:rFonts w:ascii="宋体" w:eastAsia="宋体" w:hAnsi="宋体" w:cs="宋体"/>
          <w:kern w:val="0"/>
          <w:sz w:val="27"/>
          <w:szCs w:val="27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ind w:firstLine="32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宋体" w:cs="Calibri" w:hint="eastAsia"/>
          <w:kern w:val="0"/>
          <w:sz w:val="32"/>
        </w:rPr>
        <w:t>赣州市文化广电新闻出版旅游局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仿宋_GB2312" w:eastAsia="仿宋_GB2312" w:hAnsi="Calibri" w:cs="Calibri" w:hint="eastAsia"/>
          <w:kern w:val="0"/>
          <w:sz w:val="32"/>
        </w:rPr>
        <w:t>赣州市财政局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center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宋体" w:eastAsia="宋体" w:hAnsi="宋体" w:cs="Calibri" w:hint="eastAsia"/>
          <w:kern w:val="0"/>
          <w:sz w:val="32"/>
        </w:rPr>
        <w:t>2021</w:t>
      </w:r>
      <w:r w:rsidRPr="00D00CF0">
        <w:rPr>
          <w:rFonts w:ascii="仿宋_GB2312" w:eastAsia="仿宋_GB2312" w:hAnsi="宋体" w:cs="Calibri" w:hint="eastAsia"/>
          <w:kern w:val="0"/>
          <w:sz w:val="32"/>
        </w:rPr>
        <w:t>年</w:t>
      </w:r>
      <w:r w:rsidRPr="00D00CF0">
        <w:rPr>
          <w:rFonts w:ascii="宋体" w:eastAsia="宋体" w:hAnsi="宋体" w:cs="Calibri" w:hint="eastAsia"/>
          <w:kern w:val="0"/>
          <w:sz w:val="32"/>
        </w:rPr>
        <w:t>11</w:t>
      </w:r>
      <w:r w:rsidRPr="00D00CF0">
        <w:rPr>
          <w:rFonts w:ascii="仿宋_GB2312" w:eastAsia="仿宋_GB2312" w:hAnsi="宋体" w:cs="Calibri" w:hint="eastAsia"/>
          <w:kern w:val="0"/>
          <w:sz w:val="32"/>
        </w:rPr>
        <w:t>月</w:t>
      </w:r>
      <w:r w:rsidRPr="00D00CF0">
        <w:rPr>
          <w:rFonts w:ascii="宋体" w:eastAsia="宋体" w:hAnsi="宋体" w:cs="Calibri" w:hint="eastAsia"/>
          <w:kern w:val="0"/>
          <w:sz w:val="32"/>
        </w:rPr>
        <w:t>3</w:t>
      </w:r>
      <w:r w:rsidRPr="00D00CF0">
        <w:rPr>
          <w:rFonts w:ascii="仿宋_GB2312" w:eastAsia="仿宋_GB2312" w:hAnsi="宋体" w:cs="Calibri" w:hint="eastAsia"/>
          <w:kern w:val="0"/>
          <w:sz w:val="32"/>
        </w:rPr>
        <w:t>日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lastRenderedPageBreak/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32"/>
        </w:rPr>
        <w:t> </w:t>
      </w:r>
      <w:r w:rsidRPr="00D00CF0">
        <w:rPr>
          <w:rFonts w:ascii="MS Mincho" w:eastAsia="MS Mincho" w:hAnsi="MS Mincho" w:cs="MS Mincho" w:hint="eastAsia"/>
          <w:kern w:val="0"/>
          <w:sz w:val="32"/>
          <w:szCs w:val="32"/>
        </w:rPr>
        <w:t> </w:t>
      </w:r>
    </w:p>
    <w:p w:rsidR="00D00CF0" w:rsidRPr="00D00CF0" w:rsidRDefault="00D00CF0" w:rsidP="00D00CF0">
      <w:pPr>
        <w:widowControl/>
        <w:spacing w:line="560" w:lineRule="atLeast"/>
        <w:jc w:val="left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黑体" w:eastAsia="黑体" w:hAnsi="黑体" w:cs="Calibri" w:hint="eastAsia"/>
          <w:kern w:val="0"/>
          <w:sz w:val="32"/>
        </w:rPr>
        <w:t>附件</w:t>
      </w:r>
    </w:p>
    <w:p w:rsidR="00D00CF0" w:rsidRPr="00D00CF0" w:rsidRDefault="00D00CF0" w:rsidP="00D00C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D00CF0">
        <w:rPr>
          <w:rFonts w:ascii="Calibri" w:eastAsia="宋体" w:hAnsi="Calibri" w:cs="Calibri"/>
          <w:kern w:val="0"/>
          <w:szCs w:val="21"/>
        </w:rPr>
        <w:t> </w:t>
      </w:r>
    </w:p>
    <w:p w:rsidR="00D00CF0" w:rsidRPr="00D00CF0" w:rsidRDefault="00D00CF0" w:rsidP="00D00CF0">
      <w:pPr>
        <w:widowControl/>
        <w:spacing w:line="520" w:lineRule="atLeast"/>
        <w:jc w:val="center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方正小标宋简体" w:eastAsia="方正小标宋简体" w:hAnsi="方正小标宋简体" w:cs="Calibri" w:hint="eastAsia"/>
          <w:kern w:val="0"/>
          <w:sz w:val="44"/>
          <w:szCs w:val="44"/>
        </w:rPr>
        <w:t>江西“百县百日”文旅消费季赣州分会场</w:t>
      </w:r>
    </w:p>
    <w:p w:rsidR="00D00CF0" w:rsidRPr="00D00CF0" w:rsidRDefault="00D00CF0" w:rsidP="00D00CF0">
      <w:pPr>
        <w:widowControl/>
        <w:spacing w:line="520" w:lineRule="atLeast"/>
        <w:jc w:val="center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方正小标宋简体" w:eastAsia="方正小标宋简体" w:hAnsi="方正小标宋简体" w:cs="Calibri" w:hint="eastAsia"/>
          <w:kern w:val="0"/>
          <w:sz w:val="44"/>
          <w:szCs w:val="44"/>
        </w:rPr>
        <w:t>文旅消费活动方案</w:t>
      </w:r>
    </w:p>
    <w:p w:rsidR="00D00CF0" w:rsidRPr="00D00CF0" w:rsidRDefault="00D00CF0" w:rsidP="00D00CF0">
      <w:pPr>
        <w:widowControl/>
        <w:spacing w:line="520" w:lineRule="atLeast"/>
        <w:jc w:val="center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MS Mincho" w:eastAsia="MS Mincho" w:hAnsi="MS Mincho" w:cs="MS Mincho" w:hint="eastAsia"/>
          <w:kern w:val="0"/>
          <w:sz w:val="44"/>
          <w:szCs w:val="44"/>
        </w:rPr>
        <w:t> 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黑体" w:eastAsia="黑体" w:hAnsi="黑体" w:cs="Calibri" w:hint="eastAsia"/>
          <w:kern w:val="0"/>
          <w:sz w:val="32"/>
          <w:szCs w:val="32"/>
        </w:rPr>
        <w:t>一、活动背景及目的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为贯彻落实江西“百县百日”文旅消费季活动要求，根据市政府第97次常务会会议精神，在做旺国庆黄金周文旅商贸消费的基础上，进一步加速推动消费，扩大内需，引导</w:t>
      </w: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市民游客在严格落实疫情防控措施的条件下，开展健康、安全地旅游打卡、商贸消费，进一步提振文旅商贸行业的信心，拟继续从市本级文旅发展专项资金中安排1000万元用于开展文旅消费活动，助力江西“百县百日”文旅消费季。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黑体" w:eastAsia="黑体" w:hAnsi="黑体" w:cs="Calibri" w:hint="eastAsia"/>
          <w:kern w:val="0"/>
          <w:sz w:val="32"/>
          <w:szCs w:val="32"/>
        </w:rPr>
        <w:t>二、活动主题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“百县百日”文旅消费季·千万福利大派送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黑体" w:eastAsia="黑体" w:hAnsi="黑体" w:cs="Calibri" w:hint="eastAsia"/>
          <w:kern w:val="0"/>
          <w:sz w:val="32"/>
          <w:szCs w:val="32"/>
        </w:rPr>
        <w:t>三、活动时间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2021年11月-12月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黑体" w:eastAsia="黑体" w:hAnsi="黑体" w:cs="Calibri" w:hint="eastAsia"/>
          <w:kern w:val="0"/>
          <w:sz w:val="32"/>
          <w:szCs w:val="32"/>
        </w:rPr>
        <w:t>四、活动安排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楷体_GB2312" w:eastAsia="楷体_GB2312" w:hAnsi="Calibri" w:cs="Calibri" w:hint="eastAsia"/>
          <w:b/>
          <w:bCs/>
          <w:kern w:val="0"/>
          <w:sz w:val="32"/>
          <w:szCs w:val="32"/>
        </w:rPr>
        <w:t>（一）推出“脐橙+游乐购”消费抵扣券</w:t>
      </w:r>
      <w:r w:rsidRPr="00D00CF0"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（拟发放20000份，合计400万元）。</w:t>
      </w: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结合江西“百县百日”文旅消费季和赣南脐橙采摘旅游季活动，突出脐橙+旅游景区、酒店、美食、购物、商超等，用户通过江西赣州文旅等推广渠道，进入活动主题页面，可领取电子消费券。消费券价值200元：含100元脐橙采摘季旅游消费券（分为20、30、50元各一张），凭消费抵扣券可以到指定脐橙采摘园、景区、酒店、餐饮店、旅游购物店无门槛抵扣使用；商超券100元，凭消费抵扣券到指定商超消费，使用规则为满200减100元。</w:t>
      </w:r>
    </w:p>
    <w:p w:rsidR="00D00CF0" w:rsidRPr="00D00CF0" w:rsidRDefault="00D00CF0" w:rsidP="00D00CF0">
      <w:pPr>
        <w:widowControl/>
        <w:ind w:firstLine="642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楷体_GB2312" w:eastAsia="楷体_GB2312" w:hAnsi="Calibri" w:cs="Calibri" w:hint="eastAsia"/>
          <w:b/>
          <w:bCs/>
          <w:kern w:val="0"/>
          <w:sz w:val="32"/>
          <w:szCs w:val="32"/>
        </w:rPr>
        <w:t>（二）推出助力直播带货大赛消费金（总计600万元）。</w:t>
      </w: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按照“百县百日”文旅消费季直播带货大赛规则，大赛分为10月28日摸底排位赛、11月11日交叉淘汰赛、11月25日下位淘汰赛、12月3日抢位淘汰赛和12月12日巅峰王者赛</w:t>
      </w: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五个部分进行，均为高序位PK低序位，最终以直播销售金额总数作为排名及晋级依据。为助力赣州文旅直播带货大赛品牌输出，推动线上线下同时发力，激励各县(市、区)踊跃争先，企业积极让利，将600万元消费金按照赛事阶段，从交叉淘汰赛开始，分别安排148万元、132万元、182万元、138万元，按每场次情况投放至各县（市、区）直播间，作为消费者在直播间购买产品抵扣券、抽奖券，促进赣州文旅产品售卖。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1.摸底排位赛后，将100万元平均分配给排位全省前50名的县（市、区），另48万元平均分配给排位全市前6名的县（市、区），参加交叉淘汰赛；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2.将100万元平均分配给参加下位淘汰赛的县（市、区），另32万元平均分配给参加下位淘汰赛全市前4名的县（市、区）；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3.将150万元平均分配给参加抢位淘汰赛的县（市、区），另32万元平均分配给每组参赛的全市前2名的县（市、区）；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4.将138万元平均分配给参加巅峰王者赛的县（市、区）。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黑体" w:eastAsia="黑体" w:hAnsi="黑体" w:cs="Calibri" w:hint="eastAsia"/>
          <w:kern w:val="0"/>
          <w:sz w:val="32"/>
          <w:szCs w:val="32"/>
        </w:rPr>
        <w:t>五、有关事项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（一）“脐橙+游乐购”消费券从11月15日开始每天上午10点通过赣智旅微信小程序发放，连续发放 5天，每天4000份，共计20000份，发完为止。若当前时段消费券未领完，则自动划拨到下一时段进行领取。每个用户仅可领</w:t>
      </w: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取一次。指定消费商家由各县（市、区）文广新旅局牵头商商务局、果业局提供有关商家名单。消费券使用期限截止到2021年12月12日，过期未用自动失效。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（二）各县（市、区）需对发放在本县的助力直播带货大赛消费金严格资金管理，消费金仅限用于大赛期间直播间对消费者的让利和抽奖，市本级共安排600万元助力各县（市、区）活动开展。各县（市、区）安排资金并出台配套政策及操作办法，支持促进消费产品售卖，具体政策措施需向市文广新旅局报备同意。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（三）市文广新旅局加强对消费券、消费金发放的指导和管理，市、县组织对商家核销的消费券、直播间抵扣的消费金进行核定，按程序兑付。</w:t>
      </w:r>
    </w:p>
    <w:p w:rsidR="00D00CF0" w:rsidRPr="00D00CF0" w:rsidRDefault="00D00CF0" w:rsidP="00D00CF0">
      <w:pPr>
        <w:widowControl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D00CF0">
        <w:rPr>
          <w:rFonts w:ascii="仿宋_GB2312" w:eastAsia="仿宋_GB2312" w:hAnsi="Calibri" w:cs="Calibri" w:hint="eastAsia"/>
          <w:kern w:val="0"/>
          <w:sz w:val="32"/>
          <w:szCs w:val="32"/>
        </w:rPr>
        <w:t>（四）市、县两级要形成宣传矩阵，加大对“百县百日”文旅消费季·千万福利大派送活动的宣传推广，提升活动热度，提高商家和市民游客参与度，扩大消费季活动成果。</w:t>
      </w:r>
    </w:p>
    <w:p w:rsidR="00E53859" w:rsidRPr="00D00CF0" w:rsidRDefault="00E53859"/>
    <w:sectPr w:rsidR="00E53859" w:rsidRPr="00D00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59" w:rsidRDefault="00E53859" w:rsidP="00D00CF0">
      <w:r>
        <w:separator/>
      </w:r>
    </w:p>
  </w:endnote>
  <w:endnote w:type="continuationSeparator" w:id="1">
    <w:p w:rsidR="00E53859" w:rsidRDefault="00E53859" w:rsidP="00D0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59" w:rsidRDefault="00E53859" w:rsidP="00D00CF0">
      <w:r>
        <w:separator/>
      </w:r>
    </w:p>
  </w:footnote>
  <w:footnote w:type="continuationSeparator" w:id="1">
    <w:p w:rsidR="00E53859" w:rsidRDefault="00E53859" w:rsidP="00D00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CF0"/>
    <w:rsid w:val="00D00CF0"/>
    <w:rsid w:val="00E5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CF0"/>
    <w:rPr>
      <w:sz w:val="18"/>
      <w:szCs w:val="18"/>
    </w:rPr>
  </w:style>
  <w:style w:type="character" w:customStyle="1" w:styleId="15">
    <w:name w:val="15"/>
    <w:basedOn w:val="a0"/>
    <w:rsid w:val="00D00CF0"/>
  </w:style>
  <w:style w:type="paragraph" w:customStyle="1" w:styleId="16">
    <w:name w:val="16"/>
    <w:basedOn w:val="a"/>
    <w:rsid w:val="00D00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市大数据发展管理局</dc:creator>
  <cp:keywords/>
  <dc:description/>
  <cp:lastModifiedBy>市大数据发展管理局</cp:lastModifiedBy>
  <cp:revision>2</cp:revision>
  <dcterms:created xsi:type="dcterms:W3CDTF">2021-11-30T03:17:00Z</dcterms:created>
  <dcterms:modified xsi:type="dcterms:W3CDTF">2021-11-30T03:17:00Z</dcterms:modified>
</cp:coreProperties>
</file>