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CEF5C">
      <w:pPr>
        <w:spacing w:line="520" w:lineRule="exact"/>
        <w:jc w:val="center"/>
        <w:rPr>
          <w:rFonts w:ascii="仿宋_GB2312" w:cs="Calibri"/>
          <w:szCs w:val="22"/>
        </w:rPr>
      </w:pPr>
    </w:p>
    <w:p w14:paraId="497EF929">
      <w:pPr>
        <w:spacing w:line="620" w:lineRule="exact"/>
        <w:jc w:val="center"/>
        <w:rPr>
          <w:rFonts w:ascii="仿宋_GB2312" w:cs="Calibri"/>
          <w:szCs w:val="22"/>
        </w:rPr>
      </w:pPr>
    </w:p>
    <w:p w14:paraId="3F6D1DB7">
      <w:pPr>
        <w:spacing w:line="620" w:lineRule="exact"/>
        <w:jc w:val="center"/>
        <w:rPr>
          <w:rFonts w:ascii="仿宋_GB2312" w:cs="Calibri"/>
          <w:szCs w:val="22"/>
        </w:rPr>
      </w:pPr>
    </w:p>
    <w:p w14:paraId="295066C6">
      <w:pPr>
        <w:spacing w:line="620" w:lineRule="exact"/>
        <w:jc w:val="center"/>
        <w:rPr>
          <w:rFonts w:ascii="仿宋_GB2312" w:cs="Calibri"/>
          <w:szCs w:val="22"/>
        </w:rPr>
      </w:pPr>
    </w:p>
    <w:p w14:paraId="05761469">
      <w:pPr>
        <w:spacing w:line="620" w:lineRule="exact"/>
        <w:jc w:val="center"/>
        <w:rPr>
          <w:rFonts w:ascii="仿宋_GB2312" w:cs="Calibri"/>
          <w:szCs w:val="22"/>
        </w:rPr>
      </w:pPr>
    </w:p>
    <w:p w14:paraId="570FFF16">
      <w:pPr>
        <w:spacing w:line="800" w:lineRule="exact"/>
        <w:jc w:val="center"/>
        <w:rPr>
          <w:rFonts w:ascii="仿宋_GB2312" w:cs="Calibri"/>
          <w:szCs w:val="22"/>
        </w:rPr>
      </w:pPr>
    </w:p>
    <w:p w14:paraId="5047495C">
      <w:pPr>
        <w:spacing w:beforeLines="50"/>
        <w:jc w:val="center"/>
        <w:rPr>
          <w:rFonts w:ascii="仿宋_GB2312" w:cs="Calibri"/>
          <w:szCs w:val="22"/>
        </w:rPr>
      </w:pPr>
      <w:r>
        <w:rPr>
          <w:rFonts w:hint="eastAsia" w:ascii="仿宋_GB2312" w:cs="Calibri"/>
          <w:szCs w:val="22"/>
        </w:rPr>
        <w:t>赣医保办字〔2023〕6号</w:t>
      </w:r>
    </w:p>
    <w:p w14:paraId="4BEE51DC">
      <w:pPr>
        <w:spacing w:beforeLines="50" w:line="400" w:lineRule="exact"/>
        <w:jc w:val="center"/>
        <w:rPr>
          <w:rFonts w:ascii="仿宋_GB2312"/>
        </w:rPr>
      </w:pPr>
    </w:p>
    <w:p w14:paraId="4B4BAB7C">
      <w:pPr>
        <w:spacing w:line="64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rPr>
        <w:t>江西省医疗保障局办公室</w:t>
      </w:r>
      <w:r>
        <w:rPr>
          <w:rFonts w:hint="eastAsia" w:ascii="方正小标宋简体" w:hAnsi="方正小标宋简体" w:eastAsia="方正小标宋简体" w:cs="方正小标宋简体"/>
          <w:sz w:val="44"/>
          <w:szCs w:val="44"/>
          <w:shd w:val="clear" w:color="auto" w:fill="FFFFFF"/>
        </w:rPr>
        <w:t>关于进一步</w:t>
      </w:r>
    </w:p>
    <w:p w14:paraId="23EEE535">
      <w:pPr>
        <w:spacing w:line="640" w:lineRule="exact"/>
        <w:jc w:val="center"/>
        <w:rPr>
          <w:rFonts w:ascii="Calibri" w:eastAsia="宋体"/>
          <w:sz w:val="21"/>
          <w:szCs w:val="21"/>
        </w:rPr>
      </w:pPr>
      <w:r>
        <w:rPr>
          <w:rFonts w:hint="eastAsia" w:ascii="方正小标宋简体" w:hAnsi="方正小标宋简体" w:eastAsia="方正小标宋简体" w:cs="方正小标宋简体"/>
          <w:sz w:val="44"/>
          <w:szCs w:val="44"/>
          <w:shd w:val="clear" w:color="auto" w:fill="FFFFFF"/>
        </w:rPr>
        <w:t>做好定点零售药店纳入门诊统筹管理的通知</w:t>
      </w:r>
    </w:p>
    <w:p w14:paraId="54FA3AF4">
      <w:pPr>
        <w:spacing w:line="400" w:lineRule="exact"/>
        <w:rPr>
          <w:rFonts w:ascii="仿宋_GB2312" w:hAnsi="仿宋_GB2312" w:cs="仿宋_GB2312"/>
        </w:rPr>
      </w:pPr>
    </w:p>
    <w:p w14:paraId="5250A463">
      <w:pPr>
        <w:pStyle w:val="9"/>
        <w:spacing w:beforeAutospacing="0" w:afterAutospacing="0" w:line="600" w:lineRule="exact"/>
        <w:jc w:val="both"/>
        <w:rPr>
          <w:rFonts w:ascii="仿宋_GB2312" w:hAnsi="Times New Roman" w:eastAsia="仿宋_GB2312" w:cs="仿宋_GB2312"/>
          <w:sz w:val="32"/>
          <w:szCs w:val="32"/>
          <w:shd w:val="clear" w:color="auto" w:fill="FFFFFF"/>
        </w:rPr>
      </w:pPr>
      <w:r>
        <w:rPr>
          <w:rFonts w:hint="eastAsia" w:ascii="仿宋_GB2312" w:hAnsi="Times New Roman" w:eastAsia="仿宋_GB2312" w:cs="仿宋_GB2312"/>
          <w:sz w:val="32"/>
          <w:szCs w:val="32"/>
          <w:shd w:val="clear" w:color="auto" w:fill="FFFFFF"/>
        </w:rPr>
        <w:t>各设区市医疗保障局，各有关单位：</w:t>
      </w:r>
    </w:p>
    <w:p w14:paraId="179BBE96">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仿宋_GB2312" w:hAnsi="Times New Roman" w:eastAsia="仿宋_GB2312" w:cs="仿宋_GB2312"/>
          <w:sz w:val="32"/>
          <w:szCs w:val="32"/>
          <w:shd w:val="clear" w:color="auto" w:fill="FFFFFF"/>
        </w:rPr>
        <w:t>为更好推进我省职工医保门诊共济保障机制改革，切实贯彻落实好《关于建立健全职工基本医疗保险门诊共济保障机制的指导意见》《零售药店医疗保障定点管理暂行办法》和《国家医疗保障局办公室关于进一步做好定点零售药店纳入门诊统筹管理的通知》</w:t>
      </w:r>
      <w:r>
        <w:rPr>
          <w:rFonts w:hint="eastAsia" w:ascii="仿宋_GB2312" w:hAnsi="仿宋_GB2312" w:eastAsia="仿宋_GB2312" w:cs="仿宋_GB2312"/>
          <w:sz w:val="32"/>
          <w:szCs w:val="32"/>
        </w:rPr>
        <w:t>（医保办发〔2023〕4号）等文件精神和</w:t>
      </w:r>
      <w:r>
        <w:rPr>
          <w:rFonts w:hint="eastAsia" w:ascii="仿宋_GB2312" w:hAnsi="Times New Roman" w:eastAsia="仿宋_GB2312" w:cs="仿宋_GB2312"/>
          <w:sz w:val="32"/>
          <w:szCs w:val="32"/>
          <w:shd w:val="clear" w:color="auto" w:fill="FFFFFF"/>
        </w:rPr>
        <w:t>要求，经研究，现就我省医保定点零售药店纳入门诊统筹管理有关事项通知如下。</w:t>
      </w:r>
    </w:p>
    <w:p w14:paraId="150E9442">
      <w:pPr>
        <w:pStyle w:val="9"/>
        <w:numPr>
          <w:ilvl w:val="0"/>
          <w:numId w:val="1"/>
        </w:numPr>
        <w:spacing w:beforeAutospacing="0" w:afterAutospacing="0" w:line="600" w:lineRule="exact"/>
        <w:ind w:firstLine="640" w:firstLineChars="200"/>
        <w:jc w:val="both"/>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定点零售药店纳入门诊统筹</w:t>
      </w:r>
      <w:r>
        <w:rPr>
          <w:rFonts w:ascii="黑体" w:hAnsi="宋体" w:eastAsia="黑体" w:cs="黑体"/>
          <w:sz w:val="32"/>
          <w:szCs w:val="32"/>
          <w:shd w:val="clear" w:color="auto" w:fill="FFFFFF"/>
        </w:rPr>
        <w:t>条件</w:t>
      </w:r>
    </w:p>
    <w:p w14:paraId="5D60EAC4">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按照“应纳尽纳”原则，鼓励符合条件的全省医保定点零售药店自愿申请备案开通门诊统筹服务，</w:t>
      </w:r>
      <w:r>
        <w:rPr>
          <w:rFonts w:hint="eastAsia" w:ascii="仿宋_GB2312" w:hAnsi="仿宋_GB2312" w:eastAsia="仿宋_GB2312" w:cs="仿宋_GB2312"/>
          <w:sz w:val="32"/>
          <w:szCs w:val="40"/>
        </w:rPr>
        <w:t>为参保人员门诊就医购药提供更多选择、更多便利</w:t>
      </w:r>
      <w:r>
        <w:rPr>
          <w:rFonts w:hint="eastAsia" w:ascii="仿宋_GB2312" w:hAnsi="仿宋_GB2312" w:eastAsia="仿宋_GB2312" w:cs="仿宋_GB2312"/>
          <w:sz w:val="32"/>
          <w:szCs w:val="32"/>
          <w:shd w:val="clear" w:color="auto" w:fill="FFFFFF"/>
        </w:rPr>
        <w:t>。申请开通门诊统筹服务的定点零售药店应当符合医保部门规定的医保药品管理、财务管理、人员管理、信息管理以及医保费用结算等方面的要求，能够开展门诊统筹联网直接结算</w:t>
      </w:r>
      <w:r>
        <w:rPr>
          <w:rStyle w:val="13"/>
          <w:rFonts w:hint="eastAsia" w:ascii="仿宋_GB2312" w:hAnsi="仿宋_GB2312" w:eastAsia="仿宋_GB2312" w:cs="仿宋_GB2312"/>
          <w:bCs/>
          <w:color w:val="333333"/>
          <w:sz w:val="32"/>
          <w:szCs w:val="32"/>
          <w:shd w:val="clear" w:color="auto" w:fill="FFFFFF"/>
        </w:rPr>
        <w:t>。</w:t>
      </w:r>
    </w:p>
    <w:p w14:paraId="2085C72D">
      <w:pPr>
        <w:pStyle w:val="9"/>
        <w:spacing w:beforeAutospacing="0" w:afterAutospacing="0" w:line="600" w:lineRule="exact"/>
        <w:ind w:firstLine="640" w:firstLineChars="200"/>
        <w:jc w:val="both"/>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二、定点零售药店申请纳入门诊统筹方式</w:t>
      </w:r>
    </w:p>
    <w:p w14:paraId="0795AEB6">
      <w:pPr>
        <w:pStyle w:val="9"/>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（一）申请材料。</w:t>
      </w:r>
      <w:r>
        <w:rPr>
          <w:rFonts w:hint="eastAsia" w:ascii="仿宋_GB2312" w:hAnsi="仿宋_GB2312" w:eastAsia="仿宋_GB2312" w:cs="仿宋_GB2312"/>
          <w:sz w:val="32"/>
          <w:szCs w:val="32"/>
        </w:rPr>
        <w:t>申请纳入门诊统筹的医保定点零售药店须提供《江西省XX统筹区门诊统筹定点零售药店申请表》（详见附件）。</w:t>
      </w:r>
    </w:p>
    <w:p w14:paraId="317EB43B">
      <w:pPr>
        <w:pStyle w:val="9"/>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（二）申请方式。</w:t>
      </w:r>
      <w:r>
        <w:rPr>
          <w:rFonts w:hint="eastAsia" w:ascii="仿宋_GB2312" w:hAnsi="仿宋_GB2312" w:eastAsia="仿宋_GB2312" w:cs="仿宋_GB2312"/>
          <w:sz w:val="32"/>
          <w:szCs w:val="32"/>
        </w:rPr>
        <w:t>自本通知印发之日起，自愿提交申请的单体定点零售药店可将申请材料报送至《营业执照》所在县（区、市）医保部门办理，连锁定点零售药店可将申请材料集中报送至设区市医保部门统一办理。</w:t>
      </w:r>
    </w:p>
    <w:p w14:paraId="1CAA88BB">
      <w:pPr>
        <w:pStyle w:val="9"/>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楷体_GB2312" w:hAnsi="仿宋_GB2312" w:eastAsia="楷体_GB2312" w:cs="仿宋_GB2312"/>
          <w:sz w:val="32"/>
          <w:szCs w:val="32"/>
        </w:rPr>
        <w:t>（三）备案</w:t>
      </w:r>
      <w:r>
        <w:rPr>
          <w:rFonts w:hint="eastAsia" w:ascii="楷体_GB2312" w:hAnsi="楷体" w:eastAsia="楷体_GB2312" w:cs="楷体"/>
          <w:sz w:val="32"/>
          <w:szCs w:val="32"/>
        </w:rPr>
        <w:t>时限。</w:t>
      </w:r>
      <w:r>
        <w:rPr>
          <w:rFonts w:hint="eastAsia" w:ascii="仿宋_GB2312" w:hAnsi="仿宋_GB2312" w:eastAsia="仿宋_GB2312" w:cs="仿宋_GB2312"/>
          <w:sz w:val="32"/>
          <w:szCs w:val="32"/>
        </w:rPr>
        <w:t>各级医保部门，对现医保定点零售药店，原则上自收到申请材料之日起，应于7个工作日内完成备案手续。对符合申请条件的定点零售药店，备案后3个工作日内由设区市医保行政部门统一</w:t>
      </w:r>
      <w:r>
        <w:rPr>
          <w:rFonts w:hint="eastAsia" w:ascii="仿宋_GB2312" w:hAnsi="仿宋_GB2312" w:eastAsia="仿宋_GB2312" w:cs="仿宋_GB2312"/>
          <w:kern w:val="2"/>
          <w:sz w:val="32"/>
          <w:szCs w:val="32"/>
        </w:rPr>
        <w:t>通过微信公众号、门户网站等媒体矩阵向社会公告。</w:t>
      </w:r>
    </w:p>
    <w:p w14:paraId="2D9AF6FB">
      <w:pPr>
        <w:pStyle w:val="9"/>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对新申请纳入医保定点的零售药店，各统筹区医保部门，应同步完成医保定点零售药店评估审核和门诊统筹医保定点零售药店备案手续。</w:t>
      </w:r>
    </w:p>
    <w:p w14:paraId="1964D684">
      <w:pPr>
        <w:pStyle w:val="9"/>
        <w:spacing w:beforeAutospacing="0" w:afterAutospacing="0" w:line="600" w:lineRule="exact"/>
        <w:ind w:firstLine="640" w:firstLineChars="200"/>
        <w:jc w:val="both"/>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三、定点零售药店门诊统筹支付政策</w:t>
      </w:r>
    </w:p>
    <w:p w14:paraId="40665833">
      <w:pPr>
        <w:spacing w:line="600" w:lineRule="exact"/>
        <w:ind w:firstLine="640" w:firstLineChars="200"/>
        <w:rPr>
          <w:rFonts w:ascii="仿宋_GB2312" w:hAnsi="Times New Roman" w:cs="仿宋_GB2312"/>
          <w:szCs w:val="32"/>
          <w:shd w:val="clear" w:color="auto" w:fill="FFFFFF"/>
        </w:rPr>
      </w:pPr>
      <w:r>
        <w:rPr>
          <w:rFonts w:hint="eastAsia" w:ascii="楷体_GB2312" w:hAnsi="Times New Roman" w:eastAsia="楷体_GB2312" w:cs="仿宋_GB2312"/>
          <w:szCs w:val="32"/>
          <w:shd w:val="clear" w:color="auto" w:fill="FFFFFF"/>
        </w:rPr>
        <w:t>（一）</w:t>
      </w:r>
      <w:r>
        <w:rPr>
          <w:rFonts w:hint="eastAsia" w:ascii="楷体_GB2312" w:hAnsi="楷体" w:eastAsia="楷体_GB2312" w:cs="楷体"/>
          <w:szCs w:val="32"/>
          <w:shd w:val="clear" w:color="auto" w:fill="FFFFFF"/>
        </w:rPr>
        <w:t>门诊统筹基金支付范围。</w:t>
      </w:r>
      <w:r>
        <w:rPr>
          <w:rFonts w:hint="eastAsia" w:ascii="仿宋_GB2312" w:hAnsi="仿宋_GB2312" w:cs="仿宋_GB2312"/>
          <w:szCs w:val="32"/>
        </w:rPr>
        <w:t>参保人员凭定点医药机构处方在门诊统筹定点零售药店购买医保目录内药品发生的费用，可由统筹基金按规定支付。定点零售药店门诊统筹的起付标准、支付比例和最高支付限额等，执行我省定点基层医疗机构相同的医保待遇政策。参保职工在门诊统筹定点零售药店医保目录内药品费用与该参保职工在定点医疗机构门诊费用年度内可累计合并计算。定点零售药店提供的配送服务费用不纳入医保支付范围。</w:t>
      </w:r>
    </w:p>
    <w:p w14:paraId="2C605E01">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Times New Roman" w:eastAsia="楷体_GB2312" w:cs="仿宋_GB2312"/>
          <w:sz w:val="32"/>
          <w:szCs w:val="32"/>
          <w:shd w:val="clear" w:color="auto" w:fill="FFFFFF"/>
        </w:rPr>
        <w:t>（二）</w:t>
      </w:r>
      <w:r>
        <w:rPr>
          <w:rFonts w:hint="eastAsia" w:ascii="楷体_GB2312" w:hAnsi="楷体" w:eastAsia="楷体_GB2312" w:cs="楷体"/>
          <w:sz w:val="32"/>
          <w:szCs w:val="32"/>
          <w:shd w:val="clear" w:color="auto" w:fill="FFFFFF"/>
        </w:rPr>
        <w:t>完善门诊统筹总额预算管理。</w:t>
      </w:r>
      <w:r>
        <w:rPr>
          <w:rFonts w:hint="eastAsia" w:ascii="仿宋_GB2312" w:hAnsi="仿宋_GB2312" w:eastAsia="仿宋_GB2312" w:cs="仿宋_GB2312"/>
          <w:sz w:val="32"/>
          <w:szCs w:val="32"/>
          <w:shd w:val="clear" w:color="auto" w:fill="FFFFFF"/>
        </w:rPr>
        <w:t>统筹区医保部门要根据近年来本地区门诊费用情况，结合参保人数、年龄结构、疾病谱变化以及待遇水平、政策调整等因素，科学编制年度门诊医保基金支出预算。积极探索建立定点零售药店门诊统筹总额预算管理，充分发挥医保基金的激励约束作用。</w:t>
      </w:r>
    </w:p>
    <w:p w14:paraId="483C23D6">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楷体_GB2312" w:hAnsi="Times New Roman" w:eastAsia="楷体_GB2312" w:cs="仿宋_GB2312"/>
          <w:sz w:val="32"/>
          <w:szCs w:val="32"/>
          <w:shd w:val="clear" w:color="auto" w:fill="FFFFFF"/>
        </w:rPr>
        <w:t>（三）</w:t>
      </w:r>
      <w:r>
        <w:rPr>
          <w:rFonts w:hint="eastAsia" w:ascii="楷体" w:hAnsi="楷体" w:eastAsia="楷体" w:cs="楷体"/>
          <w:sz w:val="32"/>
          <w:szCs w:val="32"/>
          <w:shd w:val="clear" w:color="auto" w:fill="FFFFFF"/>
        </w:rPr>
        <w:t>加强门诊统筹定点零售药店管理。</w:t>
      </w:r>
      <w:r>
        <w:rPr>
          <w:rFonts w:hint="eastAsia" w:ascii="仿宋_GB2312" w:hAnsi="Times New Roman" w:eastAsia="仿宋_GB2312" w:cs="仿宋_GB2312"/>
          <w:sz w:val="32"/>
          <w:szCs w:val="32"/>
          <w:shd w:val="clear" w:color="auto" w:fill="FFFFFF"/>
        </w:rPr>
        <w:t>各统筹区医保部门要适应职工医保门诊共济保障机制改革新形势，结合本地实际，及时修订医保服务协议或签订补充协议，针对门诊统筹特点细化监督、考核、药品配送等条款。加强对纳入门诊统筹管理的定点零售药店的监督考核，开展年度绩效评价，建立健全“有进有出”的动态管理机制。对违反医保服务协议的，要严格按照有关规定处理，取消其门诊统筹定点零售药店资格，直至取消其医保定点零售药店资格。</w:t>
      </w:r>
    </w:p>
    <w:p w14:paraId="782A8B67">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Times New Roman" w:eastAsia="楷体_GB2312" w:cs="仿宋_GB2312"/>
          <w:sz w:val="32"/>
          <w:szCs w:val="32"/>
          <w:shd w:val="clear" w:color="auto" w:fill="FFFFFF"/>
        </w:rPr>
        <w:t>（四）</w:t>
      </w:r>
      <w:r>
        <w:rPr>
          <w:rFonts w:hint="eastAsia" w:ascii="楷体_GB2312" w:hAnsi="楷体" w:eastAsia="楷体_GB2312" w:cs="楷体"/>
          <w:sz w:val="32"/>
          <w:szCs w:val="32"/>
          <w:shd w:val="clear" w:color="auto" w:fill="FFFFFF"/>
        </w:rPr>
        <w:t>做好门诊统筹费用审核结算。</w:t>
      </w:r>
      <w:r>
        <w:rPr>
          <w:rFonts w:hint="eastAsia" w:ascii="仿宋_GB2312" w:hAnsi="仿宋_GB2312" w:eastAsia="仿宋_GB2312" w:cs="仿宋_GB2312"/>
          <w:sz w:val="32"/>
          <w:szCs w:val="32"/>
          <w:shd w:val="clear" w:color="auto" w:fill="FFFFFF"/>
        </w:rPr>
        <w:t>各统筹地区医保经办机构要加强日常管理，做好门诊统筹费用审核，确保基金规范支出。原则上医保经办机构自收到定点零售药店结算申请之日起30个工作日内完成医保结算，并及时拨付结算费用。定点零售药店应按要求向医保部门上传药品“进销存”数据、医保费用支出明细等信息，确保上传数据全面、准确、及时。</w:t>
      </w:r>
    </w:p>
    <w:p w14:paraId="114BBCB5">
      <w:pPr>
        <w:pStyle w:val="9"/>
        <w:spacing w:beforeAutospacing="0" w:afterAutospacing="0" w:line="600" w:lineRule="exact"/>
        <w:ind w:firstLine="640" w:firstLineChars="200"/>
        <w:jc w:val="both"/>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四、定点零售药店纳入门诊统筹的配套政策</w:t>
      </w:r>
    </w:p>
    <w:p w14:paraId="4B8591B8">
      <w:pPr>
        <w:pStyle w:val="9"/>
        <w:spacing w:beforeAutospacing="0" w:afterAutospacing="0" w:line="600" w:lineRule="exact"/>
        <w:ind w:firstLine="640" w:firstLineChars="200"/>
        <w:jc w:val="both"/>
        <w:rPr>
          <w:rFonts w:ascii="仿宋" w:hAnsi="仿宋" w:eastAsia="仿宋" w:cs="仿宋"/>
          <w:sz w:val="32"/>
          <w:szCs w:val="32"/>
        </w:rPr>
      </w:pPr>
      <w:r>
        <w:rPr>
          <w:rFonts w:hint="eastAsia" w:ascii="楷体_GB2312" w:hAnsi="仿宋" w:eastAsia="楷体_GB2312" w:cs="仿宋"/>
          <w:sz w:val="32"/>
          <w:szCs w:val="32"/>
          <w:shd w:val="clear" w:color="auto" w:fill="FFFFFF"/>
        </w:rPr>
        <w:t>（一）药品采购。</w:t>
      </w:r>
      <w:r>
        <w:rPr>
          <w:rFonts w:hint="eastAsia" w:ascii="仿宋_GB2312" w:hAnsi="仿宋_GB2312" w:eastAsia="仿宋_GB2312" w:cs="仿宋_GB2312"/>
          <w:sz w:val="32"/>
          <w:szCs w:val="32"/>
          <w:shd w:val="clear" w:color="auto" w:fill="FFFFFF"/>
        </w:rPr>
        <w:t>门诊统筹医保定点零售药店应当遵循公平合法、 诚实信用和质价相符的原则,为参保人员提供价格适宜的药品, 既要尊重市场机制又要坚持好承担好定点属性,加强自律。鼓励门诊统筹定点零售药店通过省药品和医用耗材集中采购平台（以下简称省药采平台）采购药品。鼓励自愿参与药品集中带量采购。</w:t>
      </w:r>
    </w:p>
    <w:p w14:paraId="69E82CAA">
      <w:pPr>
        <w:pStyle w:val="9"/>
        <w:spacing w:beforeAutospacing="0" w:afterAutospacing="0" w:line="600" w:lineRule="exact"/>
        <w:ind w:firstLine="640" w:firstLineChars="200"/>
        <w:jc w:val="both"/>
        <w:rPr>
          <w:rFonts w:ascii="仿宋_GB2312" w:hAnsi="Calibri" w:eastAsia="仿宋_GB2312"/>
          <w:sz w:val="32"/>
        </w:rPr>
      </w:pPr>
      <w:r>
        <w:rPr>
          <w:rFonts w:hint="eastAsia" w:ascii="楷体_GB2312" w:hAnsi="楷体" w:eastAsia="楷体_GB2312" w:cs="楷体"/>
          <w:sz w:val="32"/>
          <w:szCs w:val="32"/>
          <w:shd w:val="clear" w:color="auto" w:fill="FFFFFF"/>
        </w:rPr>
        <w:t>（二）药品价格。</w:t>
      </w:r>
      <w:r>
        <w:rPr>
          <w:rFonts w:hint="eastAsia" w:ascii="仿宋_GB2312" w:hAnsi="Calibri" w:eastAsia="仿宋_GB2312"/>
          <w:sz w:val="32"/>
        </w:rPr>
        <w:t>协议期内谈判药品、医保支付标准试点药品，销售价格按照不高于国家和江西省统一制定的医保支付标准执行；国家和江西省（含省级联盟）集中带量采购中选药品销售价格参考中选价格执行；其他医保目录内药品，销售价格参考省药采平台价格执行。</w:t>
      </w:r>
    </w:p>
    <w:p w14:paraId="3325E645">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（三）购药方式。</w:t>
      </w:r>
      <w:r>
        <w:rPr>
          <w:rFonts w:hint="eastAsia" w:ascii="仿宋_GB2312" w:hAnsi="Times New Roman" w:eastAsia="仿宋_GB2312" w:cs="仿宋_GB2312"/>
          <w:sz w:val="32"/>
          <w:szCs w:val="32"/>
          <w:shd w:val="clear" w:color="auto" w:fill="FFFFFF"/>
        </w:rPr>
        <w:t>享受门诊待遇的参保人员，凭处方持医保电子凭证或社会保障卡，在处方有效期内自主选择到开通门诊统筹的定点零售药店购药直接刷卡结算。</w:t>
      </w:r>
    </w:p>
    <w:p w14:paraId="71FBEF84">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（四）药店审核。</w:t>
      </w:r>
      <w:r>
        <w:rPr>
          <w:rFonts w:hint="eastAsia" w:ascii="仿宋_GB2312" w:hAnsi="仿宋_GB2312" w:eastAsia="仿宋_GB2312" w:cs="仿宋_GB2312"/>
          <w:kern w:val="2"/>
          <w:sz w:val="32"/>
          <w:szCs w:val="32"/>
          <w:shd w:val="clear" w:color="auto" w:fill="FFFFFF"/>
        </w:rPr>
        <w:t>门诊统筹医保</w:t>
      </w:r>
      <w:r>
        <w:rPr>
          <w:rFonts w:hint="eastAsia" w:ascii="仿宋_GB2312" w:hAnsi="Times New Roman" w:eastAsia="仿宋_GB2312" w:cs="仿宋_GB2312"/>
          <w:sz w:val="32"/>
          <w:szCs w:val="32"/>
          <w:shd w:val="clear" w:color="auto" w:fill="FFFFFF"/>
        </w:rPr>
        <w:t>定点零售药店应严格执行实名购药，为参保人员提供门诊保障购药服务时，须核对参保人员有效身份凭证，做到人证相符。特殊情况为他人代购药品的应出示本人和被代购人身份证。定点零售药店应认真审核处方的药品名称、剂型、剂量等相关信息，由执业药师按照处方配药，参保人员在购药结算单上签字确认后，定点零售药店方可售药。</w:t>
      </w:r>
    </w:p>
    <w:p w14:paraId="67378F68">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（五</w:t>
      </w:r>
      <w:r>
        <w:rPr>
          <w:rFonts w:ascii="楷体_GB2312" w:hAnsi="楷体" w:eastAsia="楷体_GB2312" w:cs="楷体"/>
          <w:kern w:val="2"/>
          <w:sz w:val="32"/>
          <w:szCs w:val="32"/>
          <w:shd w:val="clear" w:color="auto" w:fill="FFFFFF"/>
        </w:rPr>
        <w:t>）费用结算。</w:t>
      </w:r>
      <w:r>
        <w:rPr>
          <w:rFonts w:hint="eastAsia" w:ascii="仿宋_GB2312" w:hAnsi="Times New Roman" w:eastAsia="仿宋_GB2312" w:cs="仿宋_GB2312"/>
          <w:sz w:val="32"/>
          <w:szCs w:val="32"/>
          <w:shd w:val="clear" w:color="auto" w:fill="FFFFFF"/>
        </w:rPr>
        <w:t>参保人员通过医保电子凭证或社会保障卡完成医保直接结算。参保人员只需支付应由个人负担的费用，医保基金支付的费用由医保经办机构与定点零售药店直接结算。</w:t>
      </w:r>
      <w:r>
        <w:rPr>
          <w:rFonts w:hint="eastAsia" w:ascii="仿宋_GB2312" w:hAnsi="仿宋_GB2312" w:eastAsia="仿宋_GB2312" w:cs="仿宋_GB2312"/>
          <w:sz w:val="32"/>
          <w:szCs w:val="32"/>
          <w:shd w:val="clear" w:color="auto" w:fill="FFFFFF"/>
        </w:rPr>
        <w:t>积极探索推进门诊统筹费用异地就医直接结算。</w:t>
      </w:r>
    </w:p>
    <w:p w14:paraId="2857FEDE">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（六）药品配送。</w:t>
      </w:r>
      <w:r>
        <w:rPr>
          <w:rFonts w:hint="eastAsia" w:ascii="仿宋_GB2312" w:hAnsi="Times New Roman" w:eastAsia="仿宋_GB2312" w:cs="仿宋_GB2312"/>
          <w:sz w:val="32"/>
          <w:szCs w:val="32"/>
          <w:shd w:val="clear" w:color="auto" w:fill="FFFFFF"/>
        </w:rPr>
        <w:t>医保定点零售药店根据参保人员需求可提供配送服务，如实行药品配送服务的，要建立药品配送登记管理制度，包括配送方式、配送包装、配送清单、配送凭证、配送时间等内容，确保配送药品可查询、可追溯。</w:t>
      </w:r>
    </w:p>
    <w:p w14:paraId="076109CC">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（七）实行人头付费预算管理</w:t>
      </w:r>
      <w:r>
        <w:rPr>
          <w:rFonts w:hint="eastAsia" w:ascii="楷体_GB2312" w:hAnsi="Calibri" w:eastAsia="楷体_GB2312"/>
          <w:kern w:val="2"/>
        </w:rPr>
        <w:t>。</w:t>
      </w:r>
      <w:r>
        <w:rPr>
          <w:rFonts w:hint="eastAsia" w:ascii="仿宋_GB2312" w:hAnsi="仿宋_GB2312" w:eastAsia="仿宋_GB2312" w:cs="仿宋_GB2312"/>
          <w:sz w:val="32"/>
          <w:szCs w:val="32"/>
          <w:shd w:val="clear" w:color="auto" w:fill="FFFFFF"/>
        </w:rPr>
        <w:t>一个自然年度内，各统筹区医保部门，可参考本统筹区职工门诊统筹基金最高支付额度，探索制定按人头付费预算管理额度。门诊统筹基金支付额度不累积，年末自动清零。</w:t>
      </w:r>
    </w:p>
    <w:p w14:paraId="1DE7824F">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（八）加强处方流转管理。</w:t>
      </w:r>
      <w:r>
        <w:rPr>
          <w:rFonts w:hint="eastAsia" w:ascii="仿宋_GB2312" w:hAnsi="Times New Roman" w:eastAsia="仿宋_GB2312" w:cs="仿宋_GB2312"/>
          <w:sz w:val="32"/>
          <w:szCs w:val="32"/>
          <w:shd w:val="clear" w:color="auto" w:fill="FFFFFF"/>
        </w:rPr>
        <w:t>各统筹区医保部门要抓紧督促指导辖区内定点医疗机构和定点零售药店加快本机构结算系统接口和院内处方流转改造，依托国家统一的医保信息平台，加快医保电子处方中心落地应用，实现定点医疗机构电子处方顺畅流转到定点零售药店。</w:t>
      </w:r>
      <w:r>
        <w:rPr>
          <w:rFonts w:hint="eastAsia" w:ascii="仿宋_GB2312" w:hAnsi="Calibri" w:eastAsia="仿宋_GB2312"/>
          <w:sz w:val="32"/>
          <w:szCs w:val="32"/>
        </w:rPr>
        <w:t>定点医药机构可按照《长期处方管理规范（试行）》，为符合条件的参保患者开具长期处方</w:t>
      </w:r>
      <w:r>
        <w:rPr>
          <w:rFonts w:hint="eastAsia" w:ascii="仿宋_GB2312" w:hAnsi="Times New Roman" w:eastAsia="仿宋_GB2312" w:cs="仿宋_GB2312"/>
          <w:sz w:val="32"/>
          <w:szCs w:val="32"/>
          <w:shd w:val="clear" w:color="auto" w:fill="FFFFFF"/>
        </w:rPr>
        <w:t>。</w:t>
      </w:r>
    </w:p>
    <w:p w14:paraId="31798BC6">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（九）加强基金监管。</w:t>
      </w:r>
      <w:bookmarkStart w:id="0" w:name="_GoBack"/>
      <w:r>
        <w:rPr>
          <w:rFonts w:hint="eastAsia" w:ascii="仿宋_GB2312" w:hAnsi="仿宋_GB2312" w:eastAsia="仿宋_GB2312" w:cs="仿宋_GB2312"/>
          <w:sz w:val="32"/>
          <w:szCs w:val="32"/>
          <w:shd w:val="clear" w:color="auto" w:fill="FFFFFF"/>
        </w:rPr>
        <w:t>充分运用智能监管系统、实地稽核、飞行检查、引入第三方监管力量等办法，精准锁定可疑问题线索，积极开展问题核查，严厉打击定点零售药店欺诈骗保等违法违规行为，强化对门诊统筹基金的监管，确保医保基金安全合理使用。加强医疗保障定点协议管理，对违反医疗服务协议的，严格按照协议约定处理。对违反《医疗保障基金使用监督管理条例》的，由医保行政部门依法追回医保基金实施行政处罚，情节严重的移交司法机关依法追究刑事责任。</w:t>
      </w:r>
      <w:bookmarkEnd w:id="0"/>
    </w:p>
    <w:p w14:paraId="590BE676">
      <w:pPr>
        <w:pStyle w:val="9"/>
        <w:spacing w:beforeAutospacing="0" w:afterAutospacing="0" w:line="600" w:lineRule="exact"/>
        <w:ind w:firstLine="640" w:firstLineChars="200"/>
        <w:jc w:val="both"/>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五、工作要求</w:t>
      </w:r>
    </w:p>
    <w:p w14:paraId="0D42B48D">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ascii="楷体_GB2312" w:hAnsi="楷体" w:eastAsia="楷体_GB2312" w:cs="楷体"/>
          <w:sz w:val="32"/>
          <w:szCs w:val="32"/>
          <w:shd w:val="clear" w:color="auto" w:fill="FFFFFF"/>
        </w:rPr>
        <w:t>（一）提高政治站位。</w:t>
      </w:r>
      <w:r>
        <w:rPr>
          <w:rFonts w:hint="eastAsia" w:ascii="仿宋_GB2312" w:hAnsi="Times New Roman" w:eastAsia="仿宋_GB2312" w:cs="仿宋_GB2312"/>
          <w:sz w:val="32"/>
          <w:szCs w:val="32"/>
          <w:shd w:val="clear" w:color="auto" w:fill="FFFFFF"/>
        </w:rPr>
        <w:t>将符合条件的定点零售药店提供的用药保障纳入门诊统筹保障范围，是贯彻落实党中央、国务院和省委、省政府决策部署的重要举措，</w:t>
      </w:r>
      <w:r>
        <w:rPr>
          <w:rFonts w:hint="eastAsia" w:ascii="仿宋_GB2312" w:hAnsi="仿宋_GB2312" w:eastAsia="仿宋_GB2312" w:cs="仿宋_GB2312"/>
          <w:sz w:val="32"/>
          <w:szCs w:val="32"/>
          <w:shd w:val="clear" w:color="auto" w:fill="FFFFFF"/>
        </w:rPr>
        <w:t>是利民、惠民、便民的大事。各统筹区医保行政部门要提高政治站位，</w:t>
      </w:r>
      <w:r>
        <w:rPr>
          <w:rFonts w:hint="eastAsia" w:ascii="仿宋_GB2312" w:hAnsi="Times New Roman" w:eastAsia="仿宋_GB2312" w:cs="仿宋_GB2312"/>
          <w:sz w:val="32"/>
          <w:szCs w:val="32"/>
          <w:shd w:val="clear" w:color="auto" w:fill="FFFFFF"/>
        </w:rPr>
        <w:t>承担主体责任，加强组织领导，压实工作责任，指导和督促所辖医保经办机构及时将符合条件的定点零售药店纳入门诊统筹管理,完善相关配套措施，确保政策落实落地。</w:t>
      </w:r>
    </w:p>
    <w:p w14:paraId="04398AE6">
      <w:pPr>
        <w:pStyle w:val="9"/>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楷体_GB2312" w:hAnsi="楷体" w:eastAsia="楷体_GB2312" w:cs="楷体"/>
          <w:kern w:val="2"/>
          <w:sz w:val="32"/>
          <w:szCs w:val="32"/>
          <w:shd w:val="clear" w:color="auto" w:fill="FFFFFF"/>
        </w:rPr>
        <w:t>（二）强化部门协同。</w:t>
      </w:r>
      <w:r>
        <w:rPr>
          <w:rFonts w:hint="eastAsia" w:ascii="仿宋_GB2312" w:hAnsi="仿宋_GB2312" w:eastAsia="仿宋_GB2312" w:cs="仿宋_GB2312"/>
          <w:sz w:val="32"/>
          <w:szCs w:val="32"/>
          <w:shd w:val="clear" w:color="auto" w:fill="FFFFFF"/>
        </w:rPr>
        <w:t>各级医保行政部门要主动加强与相关部门的政策协调，完善处方流转、药品配备、数据衔接、规范行为等相关政策措施，打通落地环节，形成工作合力，稳步提高参保人员门诊共济就医用药保障水平。</w:t>
      </w:r>
    </w:p>
    <w:p w14:paraId="42A97C38">
      <w:pPr>
        <w:pStyle w:val="9"/>
        <w:spacing w:beforeAutospacing="0" w:afterAutospacing="0" w:line="600" w:lineRule="exact"/>
        <w:ind w:firstLine="640" w:firstLineChars="200"/>
        <w:jc w:val="both"/>
        <w:rPr>
          <w:rFonts w:ascii="仿宋_GB2312" w:hAnsi="仿宋_GB2312" w:eastAsia="仿宋_GB2312" w:cs="仿宋_GB2312"/>
          <w:sz w:val="32"/>
          <w:szCs w:val="40"/>
        </w:rPr>
      </w:pPr>
      <w:r>
        <w:rPr>
          <w:rFonts w:hint="eastAsia" w:ascii="楷体_GB2312" w:hAnsi="楷体" w:eastAsia="楷体_GB2312" w:cs="楷体"/>
          <w:kern w:val="2"/>
          <w:sz w:val="32"/>
          <w:szCs w:val="32"/>
          <w:shd w:val="clear" w:color="auto" w:fill="FFFFFF"/>
        </w:rPr>
        <w:t>（三）加强政策培训。</w:t>
      </w:r>
      <w:r>
        <w:rPr>
          <w:rFonts w:hint="eastAsia" w:ascii="仿宋_GB2312" w:hAnsi="仿宋_GB2312" w:eastAsia="仿宋_GB2312" w:cs="仿宋_GB2312"/>
          <w:sz w:val="32"/>
          <w:szCs w:val="32"/>
          <w:shd w:val="clear" w:color="auto" w:fill="FFFFFF"/>
        </w:rPr>
        <w:t>各级</w:t>
      </w:r>
      <w:r>
        <w:rPr>
          <w:rFonts w:hint="eastAsia" w:ascii="仿宋_GB2312" w:hAnsi="仿宋_GB2312" w:eastAsia="仿宋_GB2312" w:cs="仿宋_GB2312"/>
          <w:sz w:val="32"/>
          <w:szCs w:val="40"/>
        </w:rPr>
        <w:t>医保行政部门要加强对医保系统内工作人员和定点医药机构特别是门诊统筹药店相关人员的政策培训，确保其熟练掌握门诊统筹政策、就医购药结算流程，能为参保人员解读政策，做好对群众咨询解释、就医购药结算引导工作。</w:t>
      </w:r>
    </w:p>
    <w:p w14:paraId="6733CE99">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r>
        <w:rPr>
          <w:rFonts w:hint="eastAsia" w:ascii="楷体_GB2312" w:hAnsi="楷体" w:eastAsia="楷体_GB2312" w:cs="楷体"/>
          <w:sz w:val="32"/>
          <w:szCs w:val="32"/>
          <w:shd w:val="clear" w:color="auto" w:fill="FFFFFF"/>
        </w:rPr>
        <w:t>（四）广泛宣传告知。</w:t>
      </w:r>
      <w:r>
        <w:rPr>
          <w:rFonts w:hint="eastAsia" w:ascii="仿宋_GB2312" w:hAnsi="Times New Roman" w:eastAsia="仿宋_GB2312" w:cs="仿宋_GB2312"/>
          <w:sz w:val="32"/>
          <w:szCs w:val="32"/>
          <w:shd w:val="clear" w:color="auto" w:fill="FFFFFF"/>
        </w:rPr>
        <w:t>要加大宣传力度，创新宣传方式，丰富宣传手段，在增强宣传的针对性、实效性上下功夫，提高参保人员的政策知晓度。要坚持正确舆论导向，积极回应社会关切，</w:t>
      </w:r>
      <w:r>
        <w:rPr>
          <w:rFonts w:hint="eastAsia" w:ascii="仿宋" w:hAnsi="仿宋" w:eastAsia="仿宋" w:cs="仿宋"/>
          <w:sz w:val="32"/>
          <w:szCs w:val="32"/>
        </w:rPr>
        <w:t>引导参保人员合理购药,</w:t>
      </w:r>
      <w:r>
        <w:rPr>
          <w:rFonts w:hint="eastAsia" w:ascii="仿宋_GB2312" w:hAnsi="Times New Roman" w:eastAsia="仿宋_GB2312" w:cs="仿宋_GB2312"/>
          <w:sz w:val="32"/>
          <w:szCs w:val="32"/>
          <w:shd w:val="clear" w:color="auto" w:fill="FFFFFF"/>
        </w:rPr>
        <w:t>营造良好的舆论氛围，不断提高参保群众的获得感、幸福感、安全感。</w:t>
      </w:r>
    </w:p>
    <w:p w14:paraId="53D2F48D">
      <w:pPr>
        <w:pStyle w:val="9"/>
        <w:spacing w:beforeAutospacing="0" w:afterAutospacing="0" w:line="600" w:lineRule="exact"/>
        <w:ind w:firstLine="640" w:firstLineChars="200"/>
        <w:jc w:val="both"/>
        <w:rPr>
          <w:rFonts w:ascii="仿宋_GB2312" w:hAnsi="Times New Roman" w:eastAsia="仿宋_GB2312" w:cs="仿宋_GB2312"/>
          <w:sz w:val="32"/>
          <w:szCs w:val="32"/>
          <w:shd w:val="clear" w:color="auto" w:fill="FFFFFF"/>
        </w:rPr>
      </w:pPr>
    </w:p>
    <w:p w14:paraId="299A92FE">
      <w:pPr>
        <w:pStyle w:val="20"/>
        <w:widowControl w:val="0"/>
        <w:spacing w:line="600" w:lineRule="exact"/>
        <w:ind w:left="0" w:firstLine="640" w:firstLineChars="200"/>
        <w:textAlignment w:val="auto"/>
        <w:rPr>
          <w:rFonts w:hint="eastAsia" w:ascii="仿宋_GB2312" w:hAnsi="仿宋_GB2312" w:cs="仿宋_GB2312"/>
          <w:sz w:val="32"/>
        </w:rPr>
      </w:pPr>
      <w:r>
        <w:rPr>
          <w:rFonts w:hint="eastAsia" w:ascii="仿宋_GB2312" w:hAnsi="仿宋_GB2312" w:cs="仿宋_GB2312"/>
          <w:sz w:val="32"/>
        </w:rPr>
        <w:t>附件：江西省XX统筹区门诊统筹定点零售药店申请表</w:t>
      </w:r>
    </w:p>
    <w:p w14:paraId="3B464E87">
      <w:pPr>
        <w:pStyle w:val="20"/>
        <w:widowControl w:val="0"/>
        <w:spacing w:line="600" w:lineRule="exact"/>
        <w:ind w:left="0" w:firstLine="0"/>
        <w:textAlignment w:val="auto"/>
        <w:rPr>
          <w:rFonts w:ascii="仿宋_GB2312" w:hAnsi="宋体" w:cs="仿宋_GB2312"/>
          <w:sz w:val="32"/>
        </w:rPr>
      </w:pPr>
    </w:p>
    <w:p w14:paraId="43395567">
      <w:pPr>
        <w:pStyle w:val="20"/>
        <w:widowControl w:val="0"/>
        <w:spacing w:line="600" w:lineRule="exact"/>
        <w:ind w:left="0" w:firstLine="4563" w:firstLineChars="1426"/>
        <w:rPr>
          <w:rFonts w:ascii="仿宋_GB2312" w:hAnsi="仿宋" w:cs="黑体"/>
          <w:sz w:val="32"/>
          <w:lang w:val="zh-CN"/>
        </w:rPr>
      </w:pPr>
      <w:r>
        <w:rPr>
          <w:rFonts w:hint="eastAsia" w:ascii="仿宋_GB2312" w:hAnsi="仿宋" w:cs="黑体"/>
          <w:sz w:val="32"/>
          <w:lang w:val="zh-CN"/>
        </w:rPr>
        <w:t>江西省医疗保障局办公室</w:t>
      </w:r>
    </w:p>
    <w:p w14:paraId="118FA6DF">
      <w:pPr>
        <w:pStyle w:val="20"/>
        <w:widowControl w:val="0"/>
        <w:tabs>
          <w:tab w:val="left" w:pos="5124"/>
        </w:tabs>
        <w:spacing w:line="600" w:lineRule="exact"/>
        <w:ind w:left="0" w:firstLine="5094" w:firstLineChars="1592"/>
        <w:rPr>
          <w:rFonts w:ascii="仿宋_GB2312" w:hAnsi="仿宋" w:cs="黑体"/>
          <w:sz w:val="32"/>
          <w:lang w:val="zh-CN"/>
        </w:rPr>
      </w:pPr>
      <w:r>
        <w:rPr>
          <w:rFonts w:hint="eastAsia" w:ascii="仿宋_GB2312" w:hAnsi="仿宋" w:cs="黑体"/>
          <w:sz w:val="32"/>
          <w:lang w:val="zh-CN"/>
        </w:rPr>
        <w:t>2023年3月14日</w:t>
      </w:r>
    </w:p>
    <w:p w14:paraId="07DE231E">
      <w:pPr>
        <w:pStyle w:val="20"/>
        <w:widowControl w:val="0"/>
        <w:spacing w:line="600" w:lineRule="exact"/>
        <w:ind w:left="0" w:firstLine="5193" w:firstLineChars="1623"/>
        <w:rPr>
          <w:rFonts w:ascii="仿宋_GB2312" w:hAnsi="仿宋" w:cs="黑体"/>
          <w:sz w:val="32"/>
          <w:lang w:val="zh-CN"/>
        </w:rPr>
      </w:pPr>
    </w:p>
    <w:p w14:paraId="5AA87AC6">
      <w:pPr>
        <w:pStyle w:val="20"/>
        <w:widowControl w:val="0"/>
        <w:spacing w:line="600" w:lineRule="exact"/>
        <w:ind w:left="0" w:firstLine="0"/>
        <w:rPr>
          <w:rFonts w:ascii="仿宋_GB2312" w:hAnsi="仿宋" w:cs="黑体"/>
          <w:sz w:val="32"/>
          <w:lang w:val="zh-CN"/>
        </w:rPr>
      </w:pPr>
      <w:r>
        <w:rPr>
          <w:rFonts w:hint="eastAsia" w:ascii="仿宋_GB2312" w:hAnsi="仿宋" w:cs="黑体"/>
          <w:sz w:val="32"/>
          <w:lang w:val="zh-CN"/>
        </w:rPr>
        <w:t>（此件主动公开）</w:t>
      </w:r>
    </w:p>
    <w:p w14:paraId="697EFA20">
      <w:pPr>
        <w:pStyle w:val="2"/>
        <w:ind w:firstLine="640"/>
      </w:pPr>
    </w:p>
    <w:p w14:paraId="712A8B3E">
      <w:pPr>
        <w:pStyle w:val="2"/>
        <w:spacing w:line="100" w:lineRule="exact"/>
        <w:ind w:firstLine="0" w:firstLineChars="0"/>
        <w:sectPr>
          <w:footerReference r:id="rId5" w:type="default"/>
          <w:footerReference r:id="rId6" w:type="even"/>
          <w:pgSz w:w="11906" w:h="16838"/>
          <w:pgMar w:top="2098" w:right="1474" w:bottom="1418" w:left="1588" w:header="851" w:footer="992" w:gutter="0"/>
          <w:cols w:space="0" w:num="1"/>
          <w:docGrid w:type="linesAndChars" w:linePitch="318" w:charSpace="0"/>
        </w:sectPr>
      </w:pPr>
    </w:p>
    <w:p w14:paraId="0C1863F7">
      <w:pPr>
        <w:pStyle w:val="9"/>
        <w:spacing w:beforeAutospacing="0" w:afterAutospacing="0" w:line="580" w:lineRule="exact"/>
        <w:jc w:val="both"/>
        <w:rPr>
          <w:rFonts w:ascii="黑体" w:hAnsi="黑体" w:eastAsia="黑体" w:cs="仿宋_GB2312"/>
          <w:sz w:val="32"/>
          <w:szCs w:val="32"/>
        </w:rPr>
      </w:pPr>
      <w:r>
        <w:rPr>
          <w:rFonts w:hint="eastAsia" w:ascii="黑体" w:hAnsi="黑体" w:eastAsia="黑体" w:cs="仿宋_GB2312"/>
          <w:sz w:val="32"/>
          <w:szCs w:val="32"/>
        </w:rPr>
        <w:t>附  件</w:t>
      </w:r>
    </w:p>
    <w:p w14:paraId="2C8F95CD">
      <w:pPr>
        <w:spacing w:before="168" w:afterLines="100" w:line="190" w:lineRule="auto"/>
        <w:jc w:val="center"/>
        <w:rPr>
          <w:rFonts w:ascii="方正小标宋简体" w:hAnsi="微软雅黑" w:eastAsia="方正小标宋简体" w:cs="微软雅黑"/>
          <w:snapToGrid w:val="0"/>
          <w:sz w:val="36"/>
          <w:szCs w:val="36"/>
        </w:rPr>
      </w:pPr>
      <w:r>
        <w:rPr>
          <w:rFonts w:hint="eastAsia" w:ascii="方正小标宋简体" w:hAnsi="微软雅黑" w:eastAsia="方正小标宋简体" w:cs="微软雅黑"/>
          <w:snapToGrid w:val="0"/>
          <w:sz w:val="36"/>
          <w:szCs w:val="36"/>
        </w:rPr>
        <w:t>江西省XX统筹区门诊统筹定点零售药店申请表</w:t>
      </w:r>
    </w:p>
    <w:tbl>
      <w:tblPr>
        <w:tblStyle w:val="11"/>
        <w:tblW w:w="9502"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5"/>
        <w:gridCol w:w="1493"/>
        <w:gridCol w:w="1997"/>
        <w:gridCol w:w="2724"/>
        <w:gridCol w:w="1803"/>
      </w:tblGrid>
      <w:tr w14:paraId="58428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3C1494CE">
            <w:pPr>
              <w:spacing w:line="227" w:lineRule="auto"/>
              <w:jc w:val="center"/>
              <w:rPr>
                <w:rFonts w:ascii="宋体" w:hAnsi="宋体" w:eastAsia="宋体" w:cs="宋体"/>
                <w:sz w:val="23"/>
                <w:szCs w:val="23"/>
              </w:rPr>
            </w:pPr>
            <w:r>
              <w:rPr>
                <w:rFonts w:hint="eastAsia" w:ascii="宋体" w:hAnsi="宋体" w:eastAsia="宋体" w:cs="宋体"/>
                <w:spacing w:val="9"/>
                <w:sz w:val="23"/>
                <w:szCs w:val="23"/>
              </w:rPr>
              <w:t>定点</w:t>
            </w:r>
            <w:r>
              <w:rPr>
                <w:rFonts w:ascii="宋体" w:hAnsi="宋体" w:eastAsia="宋体" w:cs="宋体"/>
                <w:spacing w:val="9"/>
                <w:sz w:val="23"/>
                <w:szCs w:val="23"/>
              </w:rPr>
              <w:t>零</w:t>
            </w:r>
            <w:r>
              <w:rPr>
                <w:rFonts w:ascii="宋体" w:hAnsi="宋体" w:eastAsia="宋体" w:cs="宋体"/>
                <w:spacing w:val="8"/>
                <w:sz w:val="23"/>
                <w:szCs w:val="23"/>
              </w:rPr>
              <w:t>售药店名称</w:t>
            </w:r>
          </w:p>
        </w:tc>
        <w:tc>
          <w:tcPr>
            <w:tcW w:w="6524" w:type="dxa"/>
            <w:gridSpan w:val="3"/>
            <w:tcBorders>
              <w:top w:val="single" w:color="000000" w:sz="2" w:space="0"/>
              <w:bottom w:val="single" w:color="000000" w:sz="2" w:space="0"/>
            </w:tcBorders>
            <w:vAlign w:val="center"/>
          </w:tcPr>
          <w:p w14:paraId="11ED5B0A">
            <w:pPr>
              <w:jc w:val="center"/>
              <w:rPr>
                <w:rFonts w:ascii="Arial" w:hAnsi="Calibri" w:eastAsia="宋体" w:cs="Times New Roman"/>
              </w:rPr>
            </w:pPr>
          </w:p>
        </w:tc>
      </w:tr>
      <w:tr w14:paraId="41541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7CBCDED0">
            <w:pPr>
              <w:widowControl/>
              <w:kinsoku w:val="0"/>
              <w:autoSpaceDE w:val="0"/>
              <w:autoSpaceDN w:val="0"/>
              <w:adjustRightInd w:val="0"/>
              <w:snapToGrid w:val="0"/>
              <w:spacing w:line="360" w:lineRule="exact"/>
              <w:jc w:val="center"/>
              <w:textAlignment w:val="baseline"/>
              <w:rPr>
                <w:rFonts w:ascii="宋体" w:hAnsi="宋体" w:eastAsia="宋体" w:cs="宋体"/>
                <w:spacing w:val="9"/>
                <w:sz w:val="23"/>
                <w:szCs w:val="23"/>
              </w:rPr>
            </w:pPr>
            <w:r>
              <w:rPr>
                <w:rFonts w:hint="eastAsia" w:ascii="宋体" w:hAnsi="宋体" w:eastAsia="宋体" w:cs="宋体"/>
                <w:spacing w:val="9"/>
                <w:sz w:val="23"/>
                <w:szCs w:val="23"/>
              </w:rPr>
              <w:t>单体药店</w:t>
            </w:r>
          </w:p>
          <w:p w14:paraId="5AE027E5">
            <w:pPr>
              <w:widowControl/>
              <w:kinsoku w:val="0"/>
              <w:autoSpaceDE w:val="0"/>
              <w:autoSpaceDN w:val="0"/>
              <w:adjustRightInd w:val="0"/>
              <w:snapToGrid w:val="0"/>
              <w:spacing w:line="360" w:lineRule="exact"/>
              <w:jc w:val="center"/>
              <w:textAlignment w:val="baseline"/>
              <w:rPr>
                <w:rFonts w:ascii="宋体" w:hAnsi="宋体" w:eastAsia="宋体" w:cs="宋体"/>
                <w:spacing w:val="9"/>
                <w:sz w:val="23"/>
                <w:szCs w:val="23"/>
              </w:rPr>
            </w:pPr>
            <w:r>
              <w:rPr>
                <w:rFonts w:hint="eastAsia" w:ascii="宋体" w:hAnsi="宋体" w:eastAsia="宋体" w:cs="宋体"/>
                <w:spacing w:val="7"/>
                <w:sz w:val="22"/>
                <w:szCs w:val="22"/>
              </w:rPr>
              <w:t>连锁药店</w:t>
            </w:r>
          </w:p>
        </w:tc>
        <w:tc>
          <w:tcPr>
            <w:tcW w:w="6524" w:type="dxa"/>
            <w:gridSpan w:val="3"/>
            <w:tcBorders>
              <w:top w:val="single" w:color="000000" w:sz="2" w:space="0"/>
              <w:bottom w:val="single" w:color="000000" w:sz="2" w:space="0"/>
            </w:tcBorders>
            <w:vAlign w:val="center"/>
          </w:tcPr>
          <w:p w14:paraId="68890B01">
            <w:pPr>
              <w:spacing w:line="400" w:lineRule="exact"/>
              <w:jc w:val="center"/>
              <w:rPr>
                <w:rFonts w:ascii="楷体" w:hAnsi="楷体" w:eastAsia="楷体" w:cs="楷体"/>
                <w:sz w:val="22"/>
                <w:szCs w:val="22"/>
              </w:rPr>
            </w:pPr>
            <w:r>
              <w:rPr>
                <w:rFonts w:hint="eastAsia" w:ascii="楷体" w:hAnsi="楷体" w:eastAsia="楷体" w:cs="楷体"/>
                <w:sz w:val="22"/>
                <w:szCs w:val="22"/>
              </w:rPr>
              <w:sym w:font="Wingdings 2" w:char="00A3"/>
            </w:r>
          </w:p>
          <w:p w14:paraId="3008E9C9">
            <w:pPr>
              <w:spacing w:line="400" w:lineRule="exact"/>
              <w:jc w:val="center"/>
              <w:rPr>
                <w:rFonts w:ascii="楷体" w:hAnsi="楷体" w:eastAsia="楷体" w:cs="楷体"/>
                <w:sz w:val="22"/>
                <w:szCs w:val="22"/>
              </w:rPr>
            </w:pPr>
            <w:r>
              <w:rPr>
                <w:rFonts w:hint="eastAsia" w:ascii="楷体" w:hAnsi="楷体" w:eastAsia="楷体" w:cs="楷体"/>
                <w:sz w:val="22"/>
                <w:szCs w:val="22"/>
              </w:rPr>
              <w:sym w:font="Wingdings 2" w:char="00A3"/>
            </w:r>
          </w:p>
        </w:tc>
      </w:tr>
      <w:tr w14:paraId="48D0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697C94BD">
            <w:pPr>
              <w:spacing w:line="228" w:lineRule="auto"/>
              <w:jc w:val="center"/>
              <w:rPr>
                <w:rFonts w:ascii="宋体" w:hAnsi="宋体" w:eastAsia="宋体" w:cs="宋体"/>
                <w:sz w:val="23"/>
                <w:szCs w:val="23"/>
              </w:rPr>
            </w:pPr>
            <w:r>
              <w:rPr>
                <w:rFonts w:ascii="宋体" w:hAnsi="宋体" w:eastAsia="宋体" w:cs="宋体"/>
                <w:spacing w:val="11"/>
                <w:sz w:val="23"/>
                <w:szCs w:val="23"/>
              </w:rPr>
              <w:t>统</w:t>
            </w:r>
            <w:r>
              <w:rPr>
                <w:rFonts w:ascii="宋体" w:hAnsi="宋体" w:eastAsia="宋体" w:cs="宋体"/>
                <w:spacing w:val="8"/>
                <w:sz w:val="23"/>
                <w:szCs w:val="23"/>
              </w:rPr>
              <w:t>一社会信用代码</w:t>
            </w:r>
          </w:p>
        </w:tc>
        <w:tc>
          <w:tcPr>
            <w:tcW w:w="6524" w:type="dxa"/>
            <w:gridSpan w:val="3"/>
            <w:tcBorders>
              <w:top w:val="single" w:color="000000" w:sz="2" w:space="0"/>
              <w:bottom w:val="single" w:color="000000" w:sz="2" w:space="0"/>
            </w:tcBorders>
            <w:vAlign w:val="center"/>
          </w:tcPr>
          <w:p w14:paraId="616189D3">
            <w:pPr>
              <w:jc w:val="center"/>
              <w:rPr>
                <w:rFonts w:ascii="Arial" w:hAnsi="Calibri" w:eastAsia="宋体" w:cs="Times New Roman"/>
              </w:rPr>
            </w:pPr>
          </w:p>
        </w:tc>
      </w:tr>
      <w:tr w14:paraId="0641E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restart"/>
            <w:tcBorders>
              <w:top w:val="single" w:color="000000" w:sz="2" w:space="0"/>
              <w:bottom w:val="nil"/>
            </w:tcBorders>
            <w:vAlign w:val="center"/>
          </w:tcPr>
          <w:p w14:paraId="26686DB6">
            <w:pPr>
              <w:spacing w:line="227" w:lineRule="auto"/>
              <w:jc w:val="center"/>
              <w:rPr>
                <w:rFonts w:ascii="宋体" w:hAnsi="宋体" w:eastAsia="宋体" w:cs="宋体"/>
                <w:sz w:val="23"/>
                <w:szCs w:val="23"/>
              </w:rPr>
            </w:pPr>
            <w:r>
              <w:rPr>
                <w:rFonts w:ascii="宋体" w:hAnsi="宋体" w:eastAsia="宋体" w:cs="宋体"/>
                <w:spacing w:val="8"/>
                <w:sz w:val="23"/>
                <w:szCs w:val="23"/>
              </w:rPr>
              <w:t>法定代表</w:t>
            </w:r>
            <w:r>
              <w:rPr>
                <w:rFonts w:ascii="宋体" w:hAnsi="宋体" w:eastAsia="宋体" w:cs="宋体"/>
                <w:spacing w:val="7"/>
                <w:sz w:val="23"/>
                <w:szCs w:val="23"/>
              </w:rPr>
              <w:t>人</w:t>
            </w:r>
          </w:p>
        </w:tc>
        <w:tc>
          <w:tcPr>
            <w:tcW w:w="1493" w:type="dxa"/>
            <w:tcBorders>
              <w:top w:val="single" w:color="000000" w:sz="2" w:space="0"/>
              <w:bottom w:val="single" w:color="000000" w:sz="2" w:space="0"/>
            </w:tcBorders>
            <w:vAlign w:val="center"/>
          </w:tcPr>
          <w:p w14:paraId="58E4691D">
            <w:pPr>
              <w:spacing w:line="227" w:lineRule="auto"/>
              <w:jc w:val="center"/>
              <w:rPr>
                <w:rFonts w:ascii="宋体" w:hAnsi="宋体" w:eastAsia="宋体" w:cs="宋体"/>
                <w:sz w:val="23"/>
                <w:szCs w:val="23"/>
              </w:rPr>
            </w:pPr>
            <w:r>
              <w:rPr>
                <w:rFonts w:ascii="宋体" w:hAnsi="宋体" w:eastAsia="宋体" w:cs="宋体"/>
                <w:spacing w:val="5"/>
                <w:sz w:val="23"/>
                <w:szCs w:val="23"/>
              </w:rPr>
              <w:t>姓名</w:t>
            </w:r>
          </w:p>
        </w:tc>
        <w:tc>
          <w:tcPr>
            <w:tcW w:w="1997" w:type="dxa"/>
            <w:tcBorders>
              <w:top w:val="single" w:color="000000" w:sz="2" w:space="0"/>
              <w:bottom w:val="single" w:color="000000" w:sz="2" w:space="0"/>
            </w:tcBorders>
            <w:vAlign w:val="center"/>
          </w:tcPr>
          <w:p w14:paraId="68FA6B76">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14:paraId="576CC9DE">
            <w:pPr>
              <w:spacing w:line="228" w:lineRule="auto"/>
              <w:jc w:val="center"/>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系方式</w:t>
            </w:r>
          </w:p>
        </w:tc>
        <w:tc>
          <w:tcPr>
            <w:tcW w:w="1803" w:type="dxa"/>
            <w:tcBorders>
              <w:top w:val="single" w:color="000000" w:sz="2" w:space="0"/>
              <w:bottom w:val="single" w:color="000000" w:sz="2" w:space="0"/>
            </w:tcBorders>
            <w:vAlign w:val="center"/>
          </w:tcPr>
          <w:p w14:paraId="516313DA">
            <w:pPr>
              <w:jc w:val="center"/>
              <w:rPr>
                <w:rFonts w:ascii="Arial" w:hAnsi="Calibri" w:eastAsia="宋体" w:cs="Times New Roman"/>
              </w:rPr>
            </w:pPr>
          </w:p>
        </w:tc>
      </w:tr>
      <w:tr w14:paraId="04E67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continue"/>
            <w:tcBorders>
              <w:top w:val="nil"/>
              <w:bottom w:val="single" w:color="000000" w:sz="2" w:space="0"/>
            </w:tcBorders>
            <w:vAlign w:val="center"/>
          </w:tcPr>
          <w:p w14:paraId="03AF156B">
            <w:pPr>
              <w:jc w:val="center"/>
              <w:rPr>
                <w:rFonts w:ascii="Arial" w:hAnsi="Calibri" w:eastAsia="宋体" w:cs="Times New Roman"/>
              </w:rPr>
            </w:pPr>
          </w:p>
        </w:tc>
        <w:tc>
          <w:tcPr>
            <w:tcW w:w="1493" w:type="dxa"/>
            <w:tcBorders>
              <w:top w:val="single" w:color="000000" w:sz="2" w:space="0"/>
              <w:bottom w:val="single" w:color="000000" w:sz="2" w:space="0"/>
            </w:tcBorders>
            <w:vAlign w:val="center"/>
          </w:tcPr>
          <w:p w14:paraId="6DF4B5C4">
            <w:pPr>
              <w:spacing w:line="227" w:lineRule="auto"/>
              <w:jc w:val="center"/>
              <w:rPr>
                <w:rFonts w:ascii="宋体" w:hAnsi="宋体" w:eastAsia="宋体" w:cs="宋体"/>
                <w:sz w:val="23"/>
                <w:szCs w:val="23"/>
              </w:rPr>
            </w:pPr>
            <w:r>
              <w:rPr>
                <w:rFonts w:ascii="宋体" w:hAnsi="宋体" w:eastAsia="宋体" w:cs="宋体"/>
                <w:spacing w:val="6"/>
                <w:sz w:val="23"/>
                <w:szCs w:val="23"/>
              </w:rPr>
              <w:t>身份证号</w:t>
            </w:r>
          </w:p>
        </w:tc>
        <w:tc>
          <w:tcPr>
            <w:tcW w:w="6524" w:type="dxa"/>
            <w:gridSpan w:val="3"/>
            <w:tcBorders>
              <w:top w:val="single" w:color="000000" w:sz="2" w:space="0"/>
              <w:bottom w:val="single" w:color="000000" w:sz="2" w:space="0"/>
            </w:tcBorders>
            <w:vAlign w:val="center"/>
          </w:tcPr>
          <w:p w14:paraId="1B964EB4">
            <w:pPr>
              <w:jc w:val="center"/>
              <w:rPr>
                <w:rFonts w:ascii="Arial" w:hAnsi="Calibri" w:eastAsia="宋体" w:cs="Times New Roman"/>
              </w:rPr>
            </w:pPr>
          </w:p>
        </w:tc>
      </w:tr>
      <w:tr w14:paraId="5414B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restart"/>
            <w:tcBorders>
              <w:top w:val="single" w:color="000000" w:sz="2" w:space="0"/>
              <w:bottom w:val="nil"/>
            </w:tcBorders>
            <w:vAlign w:val="center"/>
          </w:tcPr>
          <w:p w14:paraId="54F2B1B6">
            <w:pPr>
              <w:spacing w:line="227" w:lineRule="auto"/>
              <w:jc w:val="center"/>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7"/>
                <w:sz w:val="23"/>
                <w:szCs w:val="23"/>
              </w:rPr>
              <w:t>业负责人</w:t>
            </w:r>
          </w:p>
        </w:tc>
        <w:tc>
          <w:tcPr>
            <w:tcW w:w="1493" w:type="dxa"/>
            <w:tcBorders>
              <w:top w:val="single" w:color="000000" w:sz="2" w:space="0"/>
              <w:bottom w:val="single" w:color="000000" w:sz="2" w:space="0"/>
            </w:tcBorders>
            <w:vAlign w:val="center"/>
          </w:tcPr>
          <w:p w14:paraId="4F8017A2">
            <w:pPr>
              <w:spacing w:line="227" w:lineRule="auto"/>
              <w:jc w:val="center"/>
              <w:rPr>
                <w:rFonts w:ascii="宋体" w:hAnsi="宋体" w:eastAsia="宋体" w:cs="宋体"/>
                <w:sz w:val="23"/>
                <w:szCs w:val="23"/>
              </w:rPr>
            </w:pPr>
            <w:r>
              <w:rPr>
                <w:rFonts w:ascii="宋体" w:hAnsi="宋体" w:eastAsia="宋体" w:cs="宋体"/>
                <w:spacing w:val="5"/>
                <w:sz w:val="23"/>
                <w:szCs w:val="23"/>
              </w:rPr>
              <w:t>姓名</w:t>
            </w:r>
          </w:p>
        </w:tc>
        <w:tc>
          <w:tcPr>
            <w:tcW w:w="1997" w:type="dxa"/>
            <w:tcBorders>
              <w:top w:val="single" w:color="000000" w:sz="2" w:space="0"/>
              <w:bottom w:val="single" w:color="000000" w:sz="2" w:space="0"/>
            </w:tcBorders>
            <w:vAlign w:val="center"/>
          </w:tcPr>
          <w:p w14:paraId="306B7C7B">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14:paraId="7886E1CE">
            <w:pPr>
              <w:spacing w:line="228" w:lineRule="auto"/>
              <w:jc w:val="center"/>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系方式</w:t>
            </w:r>
          </w:p>
        </w:tc>
        <w:tc>
          <w:tcPr>
            <w:tcW w:w="1803" w:type="dxa"/>
            <w:tcBorders>
              <w:top w:val="single" w:color="000000" w:sz="2" w:space="0"/>
              <w:bottom w:val="single" w:color="000000" w:sz="2" w:space="0"/>
            </w:tcBorders>
            <w:vAlign w:val="center"/>
          </w:tcPr>
          <w:p w14:paraId="722A4316">
            <w:pPr>
              <w:jc w:val="center"/>
              <w:rPr>
                <w:rFonts w:ascii="Arial" w:hAnsi="Calibri" w:eastAsia="宋体" w:cs="Times New Roman"/>
              </w:rPr>
            </w:pPr>
          </w:p>
        </w:tc>
      </w:tr>
      <w:tr w14:paraId="25BC3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1485" w:type="dxa"/>
            <w:vMerge w:val="continue"/>
            <w:tcBorders>
              <w:top w:val="nil"/>
              <w:bottom w:val="single" w:color="000000" w:sz="2" w:space="0"/>
            </w:tcBorders>
            <w:vAlign w:val="center"/>
          </w:tcPr>
          <w:p w14:paraId="01FD8FF5">
            <w:pPr>
              <w:jc w:val="center"/>
              <w:rPr>
                <w:rFonts w:ascii="Arial" w:hAnsi="Calibri" w:eastAsia="宋体" w:cs="Times New Roman"/>
              </w:rPr>
            </w:pPr>
          </w:p>
        </w:tc>
        <w:tc>
          <w:tcPr>
            <w:tcW w:w="1493" w:type="dxa"/>
            <w:tcBorders>
              <w:top w:val="single" w:color="000000" w:sz="2" w:space="0"/>
              <w:bottom w:val="single" w:color="000000" w:sz="2" w:space="0"/>
            </w:tcBorders>
            <w:vAlign w:val="center"/>
          </w:tcPr>
          <w:p w14:paraId="27CAF810">
            <w:pPr>
              <w:spacing w:line="227" w:lineRule="auto"/>
              <w:jc w:val="center"/>
              <w:rPr>
                <w:rFonts w:ascii="宋体" w:hAnsi="宋体" w:eastAsia="宋体" w:cs="宋体"/>
                <w:sz w:val="23"/>
                <w:szCs w:val="23"/>
              </w:rPr>
            </w:pPr>
            <w:r>
              <w:rPr>
                <w:rFonts w:ascii="宋体" w:hAnsi="宋体" w:eastAsia="宋体" w:cs="宋体"/>
                <w:spacing w:val="6"/>
                <w:sz w:val="23"/>
                <w:szCs w:val="23"/>
              </w:rPr>
              <w:t>身份证号</w:t>
            </w:r>
          </w:p>
        </w:tc>
        <w:tc>
          <w:tcPr>
            <w:tcW w:w="6524" w:type="dxa"/>
            <w:gridSpan w:val="3"/>
            <w:tcBorders>
              <w:top w:val="single" w:color="000000" w:sz="2" w:space="0"/>
              <w:bottom w:val="single" w:color="000000" w:sz="2" w:space="0"/>
            </w:tcBorders>
            <w:vAlign w:val="center"/>
          </w:tcPr>
          <w:p w14:paraId="40ADD357">
            <w:pPr>
              <w:jc w:val="center"/>
              <w:rPr>
                <w:rFonts w:ascii="Arial" w:hAnsi="Calibri" w:eastAsia="宋体" w:cs="Times New Roman"/>
              </w:rPr>
            </w:pPr>
          </w:p>
        </w:tc>
      </w:tr>
      <w:tr w14:paraId="3AC76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63B6DFF4">
            <w:pPr>
              <w:spacing w:line="227" w:lineRule="auto"/>
              <w:jc w:val="center"/>
              <w:rPr>
                <w:rFonts w:ascii="宋体" w:hAnsi="宋体" w:eastAsia="宋体" w:cs="宋体"/>
                <w:sz w:val="23"/>
                <w:szCs w:val="23"/>
              </w:rPr>
            </w:pPr>
            <w:r>
              <w:rPr>
                <w:rFonts w:ascii="宋体" w:hAnsi="宋体" w:eastAsia="宋体" w:cs="宋体"/>
                <w:spacing w:val="13"/>
                <w:sz w:val="23"/>
                <w:szCs w:val="23"/>
              </w:rPr>
              <w:t>药</w:t>
            </w:r>
            <w:r>
              <w:rPr>
                <w:rFonts w:ascii="宋体" w:hAnsi="宋体" w:eastAsia="宋体" w:cs="宋体"/>
                <w:spacing w:val="8"/>
                <w:sz w:val="23"/>
                <w:szCs w:val="23"/>
              </w:rPr>
              <w:t>品经营许可证证号</w:t>
            </w:r>
          </w:p>
        </w:tc>
        <w:tc>
          <w:tcPr>
            <w:tcW w:w="1997" w:type="dxa"/>
            <w:tcBorders>
              <w:top w:val="single" w:color="000000" w:sz="2" w:space="0"/>
              <w:bottom w:val="single" w:color="000000" w:sz="2" w:space="0"/>
            </w:tcBorders>
            <w:vAlign w:val="center"/>
          </w:tcPr>
          <w:p w14:paraId="2C02208A">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14:paraId="51916E94">
            <w:pPr>
              <w:spacing w:line="226" w:lineRule="auto"/>
              <w:jc w:val="center"/>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6"/>
                <w:sz w:val="23"/>
                <w:szCs w:val="23"/>
              </w:rPr>
              <w:t>证机关</w:t>
            </w:r>
          </w:p>
        </w:tc>
        <w:tc>
          <w:tcPr>
            <w:tcW w:w="1803" w:type="dxa"/>
            <w:tcBorders>
              <w:top w:val="single" w:color="000000" w:sz="2" w:space="0"/>
              <w:bottom w:val="single" w:color="000000" w:sz="2" w:space="0"/>
            </w:tcBorders>
            <w:vAlign w:val="center"/>
          </w:tcPr>
          <w:p w14:paraId="272166B2">
            <w:pPr>
              <w:jc w:val="center"/>
              <w:rPr>
                <w:rFonts w:ascii="Arial" w:hAnsi="Calibri" w:eastAsia="宋体" w:cs="Times New Roman"/>
              </w:rPr>
            </w:pPr>
          </w:p>
        </w:tc>
      </w:tr>
      <w:tr w14:paraId="568C7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229D0693">
            <w:pPr>
              <w:spacing w:line="227" w:lineRule="auto"/>
              <w:jc w:val="center"/>
              <w:rPr>
                <w:rFonts w:ascii="宋体" w:hAnsi="宋体" w:eastAsia="宋体" w:cs="宋体"/>
                <w:sz w:val="23"/>
                <w:szCs w:val="23"/>
              </w:rPr>
            </w:pPr>
            <w:r>
              <w:rPr>
                <w:rFonts w:ascii="宋体" w:hAnsi="宋体" w:eastAsia="宋体" w:cs="宋体"/>
                <w:spacing w:val="8"/>
                <w:sz w:val="23"/>
                <w:szCs w:val="23"/>
              </w:rPr>
              <w:t>发</w:t>
            </w:r>
            <w:r>
              <w:rPr>
                <w:rFonts w:ascii="宋体" w:hAnsi="宋体" w:eastAsia="宋体" w:cs="宋体"/>
                <w:spacing w:val="6"/>
                <w:sz w:val="23"/>
                <w:szCs w:val="23"/>
              </w:rPr>
              <w:t>证日期</w:t>
            </w:r>
          </w:p>
        </w:tc>
        <w:tc>
          <w:tcPr>
            <w:tcW w:w="1997" w:type="dxa"/>
            <w:tcBorders>
              <w:top w:val="single" w:color="000000" w:sz="2" w:space="0"/>
              <w:bottom w:val="single" w:color="000000" w:sz="2" w:space="0"/>
            </w:tcBorders>
            <w:vAlign w:val="center"/>
          </w:tcPr>
          <w:p w14:paraId="2FBC5EFA">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14:paraId="0B42A183">
            <w:pPr>
              <w:spacing w:line="227" w:lineRule="auto"/>
              <w:jc w:val="center"/>
              <w:rPr>
                <w:rFonts w:ascii="宋体" w:hAnsi="宋体" w:eastAsia="宋体" w:cs="宋体"/>
                <w:sz w:val="23"/>
                <w:szCs w:val="23"/>
              </w:rPr>
            </w:pPr>
            <w:r>
              <w:rPr>
                <w:rFonts w:ascii="宋体" w:hAnsi="宋体" w:eastAsia="宋体" w:cs="宋体"/>
                <w:spacing w:val="11"/>
                <w:sz w:val="23"/>
                <w:szCs w:val="23"/>
              </w:rPr>
              <w:t>有</w:t>
            </w:r>
            <w:r>
              <w:rPr>
                <w:rFonts w:ascii="宋体" w:hAnsi="宋体" w:eastAsia="宋体" w:cs="宋体"/>
                <w:spacing w:val="8"/>
                <w:sz w:val="23"/>
                <w:szCs w:val="23"/>
              </w:rPr>
              <w:t>效期截止日期</w:t>
            </w:r>
          </w:p>
        </w:tc>
        <w:tc>
          <w:tcPr>
            <w:tcW w:w="1803" w:type="dxa"/>
            <w:tcBorders>
              <w:top w:val="single" w:color="000000" w:sz="2" w:space="0"/>
              <w:bottom w:val="single" w:color="000000" w:sz="2" w:space="0"/>
            </w:tcBorders>
            <w:vAlign w:val="center"/>
          </w:tcPr>
          <w:p w14:paraId="1C4636A3">
            <w:pPr>
              <w:jc w:val="center"/>
              <w:rPr>
                <w:rFonts w:ascii="Arial" w:hAnsi="Calibri" w:eastAsia="宋体" w:cs="Times New Roman"/>
              </w:rPr>
            </w:pPr>
          </w:p>
        </w:tc>
      </w:tr>
      <w:tr w14:paraId="79C67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53319E60">
            <w:pPr>
              <w:spacing w:line="227" w:lineRule="auto"/>
              <w:jc w:val="center"/>
              <w:rPr>
                <w:rFonts w:ascii="宋体" w:hAnsi="宋体" w:eastAsia="宋体" w:cs="宋体"/>
                <w:sz w:val="23"/>
                <w:szCs w:val="23"/>
              </w:rPr>
            </w:pPr>
            <w:r>
              <w:rPr>
                <w:rFonts w:ascii="宋体" w:hAnsi="宋体" w:eastAsia="宋体" w:cs="宋体"/>
                <w:spacing w:val="7"/>
                <w:sz w:val="23"/>
                <w:szCs w:val="23"/>
              </w:rPr>
              <w:t>经营范围</w:t>
            </w:r>
          </w:p>
        </w:tc>
        <w:tc>
          <w:tcPr>
            <w:tcW w:w="6524" w:type="dxa"/>
            <w:gridSpan w:val="3"/>
            <w:tcBorders>
              <w:top w:val="single" w:color="000000" w:sz="2" w:space="0"/>
              <w:bottom w:val="single" w:color="000000" w:sz="2" w:space="0"/>
            </w:tcBorders>
            <w:vAlign w:val="center"/>
          </w:tcPr>
          <w:p w14:paraId="05B149B9">
            <w:pPr>
              <w:jc w:val="center"/>
              <w:rPr>
                <w:rFonts w:ascii="Arial" w:hAnsi="Calibri" w:eastAsia="宋体" w:cs="Times New Roman"/>
              </w:rPr>
            </w:pPr>
          </w:p>
        </w:tc>
      </w:tr>
      <w:tr w14:paraId="65D67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3BE8B7D8">
            <w:pPr>
              <w:spacing w:line="228" w:lineRule="auto"/>
              <w:jc w:val="center"/>
              <w:rPr>
                <w:rFonts w:ascii="宋体" w:hAnsi="宋体" w:eastAsia="宋体" w:cs="宋体"/>
                <w:sz w:val="23"/>
                <w:szCs w:val="23"/>
              </w:rPr>
            </w:pPr>
            <w:r>
              <w:rPr>
                <w:rFonts w:hint="eastAsia" w:ascii="宋体" w:hAnsi="宋体" w:eastAsia="宋体" w:cs="宋体"/>
                <w:spacing w:val="8"/>
                <w:sz w:val="23"/>
                <w:szCs w:val="23"/>
              </w:rPr>
              <w:t>经营</w:t>
            </w:r>
            <w:r>
              <w:rPr>
                <w:rFonts w:ascii="宋体" w:hAnsi="宋体" w:eastAsia="宋体" w:cs="宋体"/>
                <w:spacing w:val="8"/>
                <w:sz w:val="23"/>
                <w:szCs w:val="23"/>
              </w:rPr>
              <w:t>地</w:t>
            </w:r>
            <w:r>
              <w:rPr>
                <w:rFonts w:ascii="宋体" w:hAnsi="宋体" w:eastAsia="宋体" w:cs="宋体"/>
                <w:spacing w:val="7"/>
                <w:sz w:val="23"/>
                <w:szCs w:val="23"/>
              </w:rPr>
              <w:t>址</w:t>
            </w:r>
          </w:p>
        </w:tc>
        <w:tc>
          <w:tcPr>
            <w:tcW w:w="6524" w:type="dxa"/>
            <w:gridSpan w:val="3"/>
            <w:tcBorders>
              <w:top w:val="single" w:color="000000" w:sz="2" w:space="0"/>
              <w:bottom w:val="single" w:color="000000" w:sz="2" w:space="0"/>
            </w:tcBorders>
            <w:vAlign w:val="center"/>
          </w:tcPr>
          <w:p w14:paraId="66AFE7AE">
            <w:pPr>
              <w:jc w:val="center"/>
              <w:rPr>
                <w:rFonts w:ascii="Arial" w:hAnsi="Calibri" w:eastAsia="宋体" w:cs="Times New Roman"/>
              </w:rPr>
            </w:pPr>
          </w:p>
        </w:tc>
      </w:tr>
      <w:tr w14:paraId="33134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66CD4AAF">
            <w:pPr>
              <w:spacing w:line="227" w:lineRule="auto"/>
              <w:jc w:val="center"/>
              <w:rPr>
                <w:rFonts w:ascii="宋体" w:hAnsi="宋体" w:eastAsia="宋体" w:cs="宋体"/>
                <w:sz w:val="23"/>
                <w:szCs w:val="23"/>
              </w:rPr>
            </w:pPr>
            <w:r>
              <w:rPr>
                <w:rFonts w:hint="eastAsia" w:ascii="宋体" w:hAnsi="宋体" w:eastAsia="宋体" w:cs="宋体"/>
                <w:spacing w:val="13"/>
                <w:sz w:val="23"/>
                <w:szCs w:val="23"/>
              </w:rPr>
              <w:t>经营</w:t>
            </w:r>
            <w:r>
              <w:rPr>
                <w:rFonts w:ascii="宋体" w:hAnsi="宋体" w:eastAsia="宋体" w:cs="宋体"/>
                <w:spacing w:val="8"/>
                <w:sz w:val="23"/>
                <w:szCs w:val="23"/>
              </w:rPr>
              <w:t>地址行政区划</w:t>
            </w:r>
          </w:p>
        </w:tc>
        <w:tc>
          <w:tcPr>
            <w:tcW w:w="1997" w:type="dxa"/>
            <w:tcBorders>
              <w:top w:val="single" w:color="000000" w:sz="2" w:space="0"/>
              <w:bottom w:val="single" w:color="000000" w:sz="2" w:space="0"/>
            </w:tcBorders>
            <w:vAlign w:val="center"/>
          </w:tcPr>
          <w:p w14:paraId="5DDE0DBD">
            <w:pPr>
              <w:jc w:val="center"/>
              <w:rPr>
                <w:rFonts w:ascii="Arial" w:hAnsi="Calibri" w:eastAsia="宋体" w:cs="Times New Roman"/>
              </w:rPr>
            </w:pPr>
          </w:p>
        </w:tc>
        <w:tc>
          <w:tcPr>
            <w:tcW w:w="2724" w:type="dxa"/>
            <w:tcBorders>
              <w:top w:val="single" w:color="000000" w:sz="2" w:space="0"/>
              <w:bottom w:val="single" w:color="000000" w:sz="2" w:space="0"/>
            </w:tcBorders>
            <w:vAlign w:val="center"/>
          </w:tcPr>
          <w:p w14:paraId="1E47DF79">
            <w:pPr>
              <w:spacing w:line="227" w:lineRule="auto"/>
              <w:jc w:val="center"/>
              <w:rPr>
                <w:rFonts w:ascii="宋体" w:hAnsi="宋体" w:eastAsia="宋体" w:cs="宋体"/>
                <w:sz w:val="23"/>
                <w:szCs w:val="23"/>
              </w:rPr>
            </w:pPr>
            <w:r>
              <w:rPr>
                <w:rFonts w:ascii="宋体" w:hAnsi="宋体" w:eastAsia="宋体" w:cs="宋体"/>
                <w:spacing w:val="12"/>
                <w:sz w:val="23"/>
                <w:szCs w:val="23"/>
              </w:rPr>
              <w:t>经</w:t>
            </w:r>
            <w:r>
              <w:rPr>
                <w:rFonts w:ascii="宋体" w:hAnsi="宋体" w:eastAsia="宋体" w:cs="宋体"/>
                <w:spacing w:val="8"/>
                <w:sz w:val="23"/>
                <w:szCs w:val="23"/>
              </w:rPr>
              <w:t>营药品品种数量</w:t>
            </w:r>
          </w:p>
        </w:tc>
        <w:tc>
          <w:tcPr>
            <w:tcW w:w="1803" w:type="dxa"/>
            <w:tcBorders>
              <w:top w:val="single" w:color="000000" w:sz="2" w:space="0"/>
              <w:bottom w:val="single" w:color="000000" w:sz="2" w:space="0"/>
            </w:tcBorders>
            <w:vAlign w:val="center"/>
          </w:tcPr>
          <w:p w14:paraId="7CB0E50F">
            <w:pPr>
              <w:jc w:val="center"/>
              <w:rPr>
                <w:rFonts w:ascii="Arial" w:hAnsi="Calibri" w:eastAsia="宋体" w:cs="Times New Roman"/>
              </w:rPr>
            </w:pPr>
          </w:p>
        </w:tc>
      </w:tr>
      <w:tr w14:paraId="3B7E6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590846DA">
            <w:pPr>
              <w:spacing w:line="227" w:lineRule="auto"/>
              <w:jc w:val="center"/>
              <w:rPr>
                <w:rFonts w:ascii="宋体" w:hAnsi="宋体" w:eastAsia="宋体" w:cs="宋体"/>
                <w:sz w:val="23"/>
                <w:szCs w:val="23"/>
              </w:rPr>
            </w:pPr>
            <w:r>
              <w:rPr>
                <w:rFonts w:ascii="宋体" w:hAnsi="宋体" w:eastAsia="宋体" w:cs="宋体"/>
                <w:spacing w:val="9"/>
                <w:sz w:val="23"/>
                <w:szCs w:val="23"/>
              </w:rPr>
              <w:t>药</w:t>
            </w:r>
            <w:r>
              <w:rPr>
                <w:rFonts w:ascii="宋体" w:hAnsi="宋体" w:eastAsia="宋体" w:cs="宋体"/>
                <w:spacing w:val="8"/>
                <w:sz w:val="23"/>
                <w:szCs w:val="23"/>
              </w:rPr>
              <w:t>店负责人姓名</w:t>
            </w:r>
          </w:p>
        </w:tc>
        <w:tc>
          <w:tcPr>
            <w:tcW w:w="1997" w:type="dxa"/>
            <w:tcBorders>
              <w:top w:val="single" w:color="000000" w:sz="2" w:space="0"/>
              <w:bottom w:val="single" w:color="000000" w:sz="2" w:space="0"/>
            </w:tcBorders>
            <w:vAlign w:val="center"/>
          </w:tcPr>
          <w:p w14:paraId="548B9DB5">
            <w:pPr>
              <w:jc w:val="center"/>
              <w:rPr>
                <w:rFonts w:ascii="Arial" w:hAnsi="Calibri" w:eastAsia="宋体" w:cs="Times New Roman"/>
              </w:rPr>
            </w:pPr>
          </w:p>
        </w:tc>
        <w:tc>
          <w:tcPr>
            <w:tcW w:w="2724" w:type="dxa"/>
            <w:vMerge w:val="restart"/>
            <w:tcBorders>
              <w:top w:val="single" w:color="000000" w:sz="2" w:space="0"/>
              <w:bottom w:val="nil"/>
            </w:tcBorders>
            <w:vAlign w:val="center"/>
          </w:tcPr>
          <w:p w14:paraId="71CCF5A0">
            <w:pPr>
              <w:spacing w:line="227" w:lineRule="auto"/>
              <w:jc w:val="center"/>
              <w:rPr>
                <w:rFonts w:ascii="宋体" w:hAnsi="宋体" w:eastAsia="宋体" w:cs="宋体"/>
                <w:sz w:val="23"/>
                <w:szCs w:val="23"/>
              </w:rPr>
            </w:pPr>
            <w:r>
              <w:rPr>
                <w:rFonts w:ascii="宋体" w:hAnsi="宋体" w:eastAsia="宋体" w:cs="宋体"/>
                <w:spacing w:val="13"/>
                <w:sz w:val="23"/>
                <w:szCs w:val="23"/>
              </w:rPr>
              <w:t>医</w:t>
            </w:r>
            <w:r>
              <w:rPr>
                <w:rFonts w:ascii="宋体" w:hAnsi="宋体" w:eastAsia="宋体" w:cs="宋体"/>
                <w:spacing w:val="7"/>
                <w:sz w:val="23"/>
                <w:szCs w:val="23"/>
              </w:rPr>
              <w:t>保目录内药品数量</w:t>
            </w:r>
          </w:p>
        </w:tc>
        <w:tc>
          <w:tcPr>
            <w:tcW w:w="1803" w:type="dxa"/>
            <w:vMerge w:val="restart"/>
            <w:tcBorders>
              <w:top w:val="single" w:color="000000" w:sz="2" w:space="0"/>
              <w:bottom w:val="nil"/>
            </w:tcBorders>
            <w:vAlign w:val="center"/>
          </w:tcPr>
          <w:p w14:paraId="684AA539">
            <w:pPr>
              <w:jc w:val="center"/>
              <w:rPr>
                <w:rFonts w:ascii="Arial" w:hAnsi="Calibri" w:eastAsia="宋体" w:cs="Times New Roman"/>
              </w:rPr>
            </w:pPr>
          </w:p>
        </w:tc>
      </w:tr>
      <w:tr w14:paraId="031A5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2978" w:type="dxa"/>
            <w:gridSpan w:val="2"/>
            <w:tcBorders>
              <w:top w:val="single" w:color="000000" w:sz="2" w:space="0"/>
              <w:bottom w:val="single" w:color="000000" w:sz="2" w:space="0"/>
            </w:tcBorders>
            <w:vAlign w:val="center"/>
          </w:tcPr>
          <w:p w14:paraId="42B610A9">
            <w:pPr>
              <w:spacing w:line="226" w:lineRule="auto"/>
              <w:jc w:val="center"/>
              <w:rPr>
                <w:rFonts w:ascii="宋体" w:hAnsi="宋体" w:eastAsia="宋体" w:cs="宋体"/>
                <w:sz w:val="23"/>
                <w:szCs w:val="23"/>
              </w:rPr>
            </w:pPr>
            <w:r>
              <w:rPr>
                <w:rFonts w:ascii="宋体" w:hAnsi="宋体" w:eastAsia="宋体" w:cs="宋体"/>
                <w:spacing w:val="11"/>
                <w:sz w:val="23"/>
                <w:szCs w:val="23"/>
              </w:rPr>
              <w:t>药</w:t>
            </w:r>
            <w:r>
              <w:rPr>
                <w:rFonts w:ascii="宋体" w:hAnsi="宋体" w:eastAsia="宋体" w:cs="宋体"/>
                <w:spacing w:val="8"/>
                <w:sz w:val="23"/>
                <w:szCs w:val="23"/>
              </w:rPr>
              <w:t>店负责人手机号</w:t>
            </w:r>
          </w:p>
        </w:tc>
        <w:tc>
          <w:tcPr>
            <w:tcW w:w="1997" w:type="dxa"/>
            <w:tcBorders>
              <w:top w:val="single" w:color="000000" w:sz="2" w:space="0"/>
              <w:bottom w:val="single" w:color="000000" w:sz="2" w:space="0"/>
            </w:tcBorders>
            <w:vAlign w:val="center"/>
          </w:tcPr>
          <w:p w14:paraId="008E972C">
            <w:pPr>
              <w:jc w:val="center"/>
              <w:rPr>
                <w:rFonts w:ascii="Arial" w:hAnsi="Calibri" w:eastAsia="宋体" w:cs="Times New Roman"/>
              </w:rPr>
            </w:pPr>
          </w:p>
        </w:tc>
        <w:tc>
          <w:tcPr>
            <w:tcW w:w="2724" w:type="dxa"/>
            <w:vMerge w:val="continue"/>
            <w:tcBorders>
              <w:top w:val="nil"/>
              <w:bottom w:val="single" w:color="000000" w:sz="2" w:space="0"/>
            </w:tcBorders>
            <w:vAlign w:val="center"/>
          </w:tcPr>
          <w:p w14:paraId="0794F5E1">
            <w:pPr>
              <w:jc w:val="center"/>
              <w:rPr>
                <w:rFonts w:ascii="Arial" w:hAnsi="Calibri" w:eastAsia="宋体" w:cs="Times New Roman"/>
              </w:rPr>
            </w:pPr>
          </w:p>
        </w:tc>
        <w:tc>
          <w:tcPr>
            <w:tcW w:w="1803" w:type="dxa"/>
            <w:vMerge w:val="continue"/>
            <w:tcBorders>
              <w:top w:val="nil"/>
              <w:bottom w:val="single" w:color="000000" w:sz="2" w:space="0"/>
            </w:tcBorders>
            <w:vAlign w:val="center"/>
          </w:tcPr>
          <w:p w14:paraId="494BABCC">
            <w:pPr>
              <w:jc w:val="center"/>
              <w:rPr>
                <w:rFonts w:ascii="Arial" w:hAnsi="Calibri" w:eastAsia="宋体" w:cs="Times New Roman"/>
              </w:rPr>
            </w:pPr>
          </w:p>
        </w:tc>
      </w:tr>
      <w:tr w14:paraId="732BF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7699" w:type="dxa"/>
            <w:gridSpan w:val="4"/>
            <w:tcBorders>
              <w:top w:val="single" w:color="000000" w:sz="2" w:space="0"/>
              <w:bottom w:val="single" w:color="000000" w:sz="2" w:space="0"/>
            </w:tcBorders>
            <w:vAlign w:val="center"/>
          </w:tcPr>
          <w:p w14:paraId="2B1CC47A">
            <w:pPr>
              <w:spacing w:before="105" w:line="227" w:lineRule="auto"/>
              <w:rPr>
                <w:rFonts w:ascii="宋体" w:hAnsi="宋体" w:eastAsia="宋体" w:cs="宋体"/>
                <w:spacing w:val="8"/>
                <w:sz w:val="22"/>
                <w:szCs w:val="22"/>
              </w:rPr>
            </w:pPr>
            <w:r>
              <w:rPr>
                <w:rFonts w:hint="eastAsia" w:ascii="宋体" w:hAnsi="宋体" w:eastAsia="宋体" w:cs="宋体"/>
                <w:sz w:val="22"/>
                <w:szCs w:val="22"/>
                <w:shd w:val="clear" w:color="auto" w:fill="FFFFFF"/>
              </w:rPr>
              <w:t>按照药品经营质量管理规范,设置独立的医保药品分区,并对所售药品设立明确的用药标识</w:t>
            </w:r>
          </w:p>
        </w:tc>
        <w:tc>
          <w:tcPr>
            <w:tcW w:w="1803" w:type="dxa"/>
            <w:tcBorders>
              <w:top w:val="single" w:color="000000" w:sz="2" w:space="0"/>
              <w:bottom w:val="single" w:color="000000" w:sz="2" w:space="0"/>
            </w:tcBorders>
            <w:vAlign w:val="center"/>
          </w:tcPr>
          <w:p w14:paraId="30E70B33">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011BB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699" w:type="dxa"/>
            <w:gridSpan w:val="4"/>
            <w:tcBorders>
              <w:top w:val="single" w:color="000000" w:sz="2" w:space="0"/>
              <w:bottom w:val="single" w:color="000000" w:sz="2" w:space="0"/>
            </w:tcBorders>
            <w:vAlign w:val="center"/>
          </w:tcPr>
          <w:p w14:paraId="08752075">
            <w:pPr>
              <w:spacing w:before="105" w:line="227" w:lineRule="auto"/>
              <w:rPr>
                <w:rFonts w:ascii="宋体" w:hAnsi="宋体" w:eastAsia="宋体" w:cs="宋体"/>
                <w:sz w:val="22"/>
                <w:szCs w:val="22"/>
              </w:rPr>
            </w:pPr>
            <w:r>
              <w:rPr>
                <w:rFonts w:ascii="宋体" w:hAnsi="宋体" w:eastAsia="宋体" w:cs="宋体"/>
                <w:spacing w:val="8"/>
                <w:sz w:val="22"/>
                <w:szCs w:val="22"/>
              </w:rPr>
              <w:t>配有专 (兼) 职医保管理人</w:t>
            </w:r>
            <w:r>
              <w:rPr>
                <w:rFonts w:ascii="宋体" w:hAnsi="宋体" w:eastAsia="宋体" w:cs="宋体"/>
                <w:spacing w:val="7"/>
                <w:sz w:val="22"/>
                <w:szCs w:val="22"/>
              </w:rPr>
              <w:t>员</w:t>
            </w:r>
          </w:p>
        </w:tc>
        <w:tc>
          <w:tcPr>
            <w:tcW w:w="1803" w:type="dxa"/>
            <w:tcBorders>
              <w:top w:val="single" w:color="000000" w:sz="2" w:space="0"/>
              <w:bottom w:val="single" w:color="000000" w:sz="2" w:space="0"/>
            </w:tcBorders>
            <w:vAlign w:val="center"/>
          </w:tcPr>
          <w:p w14:paraId="58121201">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12AB6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7699" w:type="dxa"/>
            <w:gridSpan w:val="4"/>
            <w:tcBorders>
              <w:top w:val="single" w:color="000000" w:sz="2" w:space="0"/>
              <w:bottom w:val="single" w:color="000000" w:sz="2" w:space="0"/>
            </w:tcBorders>
            <w:vAlign w:val="center"/>
          </w:tcPr>
          <w:p w14:paraId="23998750">
            <w:pPr>
              <w:spacing w:before="105" w:line="227" w:lineRule="auto"/>
              <w:rPr>
                <w:rFonts w:ascii="宋体" w:hAnsi="宋体" w:eastAsia="宋体" w:cs="宋体"/>
                <w:sz w:val="22"/>
                <w:szCs w:val="22"/>
              </w:rPr>
            </w:pPr>
            <w:r>
              <w:rPr>
                <w:rFonts w:ascii="宋体" w:hAnsi="宋体" w:eastAsia="宋体" w:cs="宋体"/>
                <w:spacing w:val="9"/>
                <w:sz w:val="22"/>
                <w:szCs w:val="22"/>
              </w:rPr>
              <w:t>具备与</w:t>
            </w:r>
            <w:r>
              <w:rPr>
                <w:rFonts w:hint="eastAsia" w:ascii="宋体" w:hAnsi="宋体" w:eastAsia="宋体" w:cs="宋体"/>
                <w:spacing w:val="9"/>
                <w:sz w:val="22"/>
                <w:szCs w:val="22"/>
              </w:rPr>
              <w:t>纳入门诊统筹管理相</w:t>
            </w:r>
            <w:r>
              <w:rPr>
                <w:rFonts w:ascii="宋体" w:hAnsi="宋体" w:eastAsia="宋体" w:cs="宋体"/>
                <w:spacing w:val="9"/>
                <w:sz w:val="22"/>
                <w:szCs w:val="22"/>
              </w:rPr>
              <w:t>对应的内部管理制度和财务制度</w:t>
            </w:r>
          </w:p>
        </w:tc>
        <w:tc>
          <w:tcPr>
            <w:tcW w:w="1803" w:type="dxa"/>
            <w:tcBorders>
              <w:top w:val="single" w:color="000000" w:sz="2" w:space="0"/>
              <w:bottom w:val="single" w:color="000000" w:sz="2" w:space="0"/>
            </w:tcBorders>
            <w:vAlign w:val="center"/>
          </w:tcPr>
          <w:p w14:paraId="12A9CD0C">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7B47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7699" w:type="dxa"/>
            <w:gridSpan w:val="4"/>
            <w:tcBorders>
              <w:top w:val="single" w:color="000000" w:sz="2" w:space="0"/>
              <w:bottom w:val="single" w:color="000000" w:sz="2" w:space="0"/>
            </w:tcBorders>
            <w:vAlign w:val="center"/>
          </w:tcPr>
          <w:p w14:paraId="29177C0B">
            <w:pPr>
              <w:spacing w:before="105" w:line="227" w:lineRule="auto"/>
              <w:rPr>
                <w:rFonts w:ascii="宋体" w:hAnsi="宋体" w:eastAsia="宋体" w:cs="宋体"/>
                <w:sz w:val="22"/>
                <w:szCs w:val="22"/>
              </w:rPr>
            </w:pPr>
            <w:r>
              <w:rPr>
                <w:rFonts w:hint="eastAsia" w:ascii="宋体" w:hAnsi="宋体" w:eastAsia="宋体" w:cs="宋体"/>
                <w:sz w:val="22"/>
                <w:szCs w:val="22"/>
                <w:shd w:val="clear" w:color="auto" w:fill="FFFFFF"/>
              </w:rPr>
              <w:t>完成医保结算、“进销存”等系统接口改造</w:t>
            </w:r>
          </w:p>
        </w:tc>
        <w:tc>
          <w:tcPr>
            <w:tcW w:w="1803" w:type="dxa"/>
            <w:tcBorders>
              <w:top w:val="single" w:color="000000" w:sz="2" w:space="0"/>
              <w:bottom w:val="single" w:color="000000" w:sz="2" w:space="0"/>
            </w:tcBorders>
            <w:vAlign w:val="center"/>
          </w:tcPr>
          <w:p w14:paraId="4ABA56E1">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612B7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7699" w:type="dxa"/>
            <w:gridSpan w:val="4"/>
            <w:tcBorders>
              <w:top w:val="single" w:color="000000" w:sz="2" w:space="0"/>
              <w:bottom w:val="single" w:color="000000" w:sz="2" w:space="0"/>
            </w:tcBorders>
            <w:vAlign w:val="center"/>
          </w:tcPr>
          <w:p w14:paraId="20A9BCCA">
            <w:pPr>
              <w:spacing w:before="106" w:line="227" w:lineRule="auto"/>
              <w:rPr>
                <w:rFonts w:ascii="宋体" w:hAnsi="宋体" w:eastAsia="宋体" w:cs="宋体"/>
                <w:sz w:val="22"/>
                <w:szCs w:val="22"/>
              </w:rPr>
            </w:pPr>
            <w:r>
              <w:rPr>
                <w:rFonts w:ascii="宋体" w:hAnsi="宋体" w:eastAsia="宋体" w:cs="宋体"/>
                <w:spacing w:val="8"/>
                <w:sz w:val="22"/>
                <w:szCs w:val="22"/>
              </w:rPr>
              <w:t>经营中药饮片</w:t>
            </w:r>
          </w:p>
        </w:tc>
        <w:tc>
          <w:tcPr>
            <w:tcW w:w="1803" w:type="dxa"/>
            <w:tcBorders>
              <w:top w:val="single" w:color="000000" w:sz="2" w:space="0"/>
              <w:bottom w:val="single" w:color="000000" w:sz="2" w:space="0"/>
            </w:tcBorders>
            <w:vAlign w:val="center"/>
          </w:tcPr>
          <w:p w14:paraId="545597A1">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2E734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699" w:type="dxa"/>
            <w:gridSpan w:val="4"/>
            <w:tcBorders>
              <w:top w:val="single" w:color="000000" w:sz="2" w:space="0"/>
              <w:bottom w:val="single" w:color="000000" w:sz="2" w:space="0"/>
            </w:tcBorders>
            <w:vAlign w:val="center"/>
          </w:tcPr>
          <w:p w14:paraId="0F9F20FB">
            <w:pPr>
              <w:spacing w:before="105" w:line="227" w:lineRule="auto"/>
              <w:rPr>
                <w:rFonts w:ascii="宋体" w:hAnsi="宋体" w:eastAsia="宋体" w:cs="宋体"/>
                <w:spacing w:val="13"/>
                <w:sz w:val="22"/>
                <w:szCs w:val="22"/>
              </w:rPr>
            </w:pPr>
            <w:r>
              <w:rPr>
                <w:rFonts w:hint="eastAsia" w:ascii="宋体" w:hAnsi="宋体" w:eastAsia="宋体" w:cs="宋体"/>
                <w:spacing w:val="13"/>
                <w:sz w:val="22"/>
                <w:szCs w:val="22"/>
              </w:rPr>
              <w:t>提供药品配送服务并有完善的</w:t>
            </w:r>
            <w:r>
              <w:rPr>
                <w:rFonts w:hint="eastAsia" w:ascii="宋体" w:hAnsi="宋体" w:eastAsia="宋体" w:cs="宋体"/>
                <w:sz w:val="22"/>
                <w:szCs w:val="22"/>
                <w:shd w:val="clear" w:color="auto" w:fill="FFFFFF"/>
              </w:rPr>
              <w:t>药品配送登记管理制度</w:t>
            </w:r>
          </w:p>
        </w:tc>
        <w:tc>
          <w:tcPr>
            <w:tcW w:w="1803" w:type="dxa"/>
            <w:tcBorders>
              <w:top w:val="single" w:color="000000" w:sz="2" w:space="0"/>
              <w:bottom w:val="single" w:color="000000" w:sz="2" w:space="0"/>
            </w:tcBorders>
            <w:vAlign w:val="center"/>
          </w:tcPr>
          <w:p w14:paraId="35C07717">
            <w:pPr>
              <w:jc w:val="center"/>
              <w:rPr>
                <w:rFonts w:ascii="Arial" w:hAnsi="Calibri" w:eastAsia="宋体" w:cs="Times New Roman"/>
              </w:rPr>
            </w:pPr>
            <w:r>
              <w:rPr>
                <w:rFonts w:hint="eastAsia" w:ascii="Arial" w:hAnsi="Calibri" w:eastAsia="宋体" w:cs="Times New Roman"/>
              </w:rPr>
              <w:t>是</w:t>
            </w:r>
            <w:r>
              <w:rPr>
                <w:rFonts w:ascii="Arial" w:hAnsi="Calibri" w:eastAsia="宋体" w:cs="Times New Roman"/>
              </w:rPr>
              <w:sym w:font="Wingdings 2" w:char="00A3"/>
            </w:r>
            <w:r>
              <w:rPr>
                <w:rFonts w:hint="eastAsia" w:ascii="Arial" w:hAnsi="Calibri" w:eastAsia="宋体" w:cs="Times New Roman"/>
              </w:rPr>
              <w:t xml:space="preserve">   否</w:t>
            </w:r>
            <w:r>
              <w:rPr>
                <w:rFonts w:ascii="Arial" w:hAnsi="Calibri" w:eastAsia="宋体" w:cs="Times New Roman"/>
              </w:rPr>
              <w:sym w:font="Wingdings 2" w:char="00A3"/>
            </w:r>
          </w:p>
        </w:tc>
      </w:tr>
      <w:tr w14:paraId="07DC5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2978" w:type="dxa"/>
            <w:gridSpan w:val="2"/>
            <w:tcBorders>
              <w:top w:val="single" w:color="000000" w:sz="2" w:space="0"/>
              <w:bottom w:val="single" w:color="000000" w:sz="2" w:space="0"/>
            </w:tcBorders>
            <w:vAlign w:val="center"/>
          </w:tcPr>
          <w:p w14:paraId="12859E2E">
            <w:pPr>
              <w:spacing w:before="105" w:line="227" w:lineRule="auto"/>
              <w:jc w:val="center"/>
              <w:rPr>
                <w:rFonts w:ascii="宋体" w:hAnsi="宋体" w:eastAsia="宋体" w:cs="宋体"/>
                <w:sz w:val="23"/>
                <w:szCs w:val="23"/>
              </w:rPr>
            </w:pPr>
            <w:r>
              <w:rPr>
                <w:rFonts w:ascii="宋体" w:hAnsi="宋体" w:eastAsia="宋体" w:cs="宋体"/>
                <w:spacing w:val="9"/>
                <w:sz w:val="23"/>
                <w:szCs w:val="23"/>
              </w:rPr>
              <w:t>执</w:t>
            </w:r>
            <w:r>
              <w:rPr>
                <w:rFonts w:ascii="宋体" w:hAnsi="宋体" w:eastAsia="宋体" w:cs="宋体"/>
                <w:spacing w:val="7"/>
                <w:sz w:val="23"/>
                <w:szCs w:val="23"/>
              </w:rPr>
              <w:t>业药师</w:t>
            </w:r>
          </w:p>
        </w:tc>
        <w:tc>
          <w:tcPr>
            <w:tcW w:w="1997" w:type="dxa"/>
            <w:tcBorders>
              <w:top w:val="single" w:color="000000" w:sz="2" w:space="0"/>
              <w:bottom w:val="single" w:color="000000" w:sz="2" w:space="0"/>
            </w:tcBorders>
            <w:vAlign w:val="center"/>
          </w:tcPr>
          <w:p w14:paraId="162CDE07">
            <w:pPr>
              <w:spacing w:before="90" w:line="229" w:lineRule="auto"/>
              <w:ind w:left="1448"/>
              <w:rPr>
                <w:rFonts w:ascii="宋体" w:hAnsi="宋体" w:eastAsia="宋体" w:cs="宋体"/>
                <w:sz w:val="23"/>
                <w:szCs w:val="23"/>
              </w:rPr>
            </w:pPr>
            <w:r>
              <w:rPr>
                <w:rFonts w:ascii="宋体" w:hAnsi="宋体" w:eastAsia="宋体" w:cs="宋体"/>
                <w:sz w:val="23"/>
                <w:szCs w:val="23"/>
              </w:rPr>
              <w:t>人</w:t>
            </w:r>
          </w:p>
        </w:tc>
        <w:tc>
          <w:tcPr>
            <w:tcW w:w="2724" w:type="dxa"/>
            <w:tcBorders>
              <w:top w:val="single" w:color="000000" w:sz="2" w:space="0"/>
              <w:bottom w:val="single" w:color="000000" w:sz="2" w:space="0"/>
            </w:tcBorders>
            <w:vAlign w:val="center"/>
          </w:tcPr>
          <w:p w14:paraId="606A0EF3">
            <w:pPr>
              <w:spacing w:before="105" w:line="227" w:lineRule="auto"/>
              <w:jc w:val="center"/>
              <w:rPr>
                <w:rFonts w:ascii="宋体" w:hAnsi="宋体" w:eastAsia="宋体" w:cs="宋体"/>
                <w:sz w:val="23"/>
                <w:szCs w:val="23"/>
              </w:rPr>
            </w:pPr>
            <w:r>
              <w:rPr>
                <w:rFonts w:ascii="宋体" w:hAnsi="宋体" w:eastAsia="宋体" w:cs="宋体"/>
                <w:spacing w:val="8"/>
                <w:sz w:val="23"/>
                <w:szCs w:val="23"/>
              </w:rPr>
              <w:t>执业中药师</w:t>
            </w:r>
          </w:p>
        </w:tc>
        <w:tc>
          <w:tcPr>
            <w:tcW w:w="1803" w:type="dxa"/>
            <w:tcBorders>
              <w:top w:val="single" w:color="000000" w:sz="2" w:space="0"/>
              <w:bottom w:val="single" w:color="000000" w:sz="2" w:space="0"/>
            </w:tcBorders>
            <w:vAlign w:val="center"/>
          </w:tcPr>
          <w:p w14:paraId="7F088BA1">
            <w:pPr>
              <w:spacing w:before="90" w:line="229" w:lineRule="auto"/>
              <w:ind w:left="1779" w:leftChars="556" w:firstLine="230" w:firstLineChars="100"/>
              <w:rPr>
                <w:rFonts w:ascii="宋体" w:hAnsi="宋体" w:eastAsia="宋体" w:cs="宋体"/>
                <w:sz w:val="23"/>
                <w:szCs w:val="23"/>
              </w:rPr>
            </w:pPr>
            <w:r>
              <w:rPr>
                <w:rFonts w:ascii="宋体" w:hAnsi="宋体" w:eastAsia="宋体" w:cs="宋体"/>
                <w:sz w:val="23"/>
                <w:szCs w:val="23"/>
              </w:rPr>
              <w:t>人</w:t>
            </w:r>
          </w:p>
        </w:tc>
      </w:tr>
      <w:tr w14:paraId="278B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2978" w:type="dxa"/>
            <w:gridSpan w:val="2"/>
            <w:tcBorders>
              <w:top w:val="single" w:color="000000" w:sz="2" w:space="0"/>
              <w:bottom w:val="single" w:color="000000" w:sz="2" w:space="0"/>
            </w:tcBorders>
            <w:vAlign w:val="center"/>
          </w:tcPr>
          <w:p w14:paraId="24F33F5C">
            <w:pPr>
              <w:spacing w:before="105" w:line="227" w:lineRule="auto"/>
              <w:jc w:val="center"/>
              <w:rPr>
                <w:rFonts w:ascii="宋体" w:hAnsi="宋体" w:eastAsia="宋体" w:cs="宋体"/>
                <w:sz w:val="23"/>
                <w:szCs w:val="23"/>
              </w:rPr>
            </w:pPr>
            <w:r>
              <w:rPr>
                <w:rFonts w:ascii="宋体" w:hAnsi="宋体" w:eastAsia="宋体" w:cs="宋体"/>
                <w:spacing w:val="8"/>
                <w:sz w:val="23"/>
                <w:szCs w:val="23"/>
              </w:rPr>
              <w:t>从</w:t>
            </w:r>
            <w:r>
              <w:rPr>
                <w:rFonts w:ascii="宋体" w:hAnsi="宋体" w:eastAsia="宋体" w:cs="宋体"/>
                <w:spacing w:val="6"/>
                <w:sz w:val="23"/>
                <w:szCs w:val="23"/>
              </w:rPr>
              <w:t>业药师</w:t>
            </w:r>
          </w:p>
        </w:tc>
        <w:tc>
          <w:tcPr>
            <w:tcW w:w="1997" w:type="dxa"/>
            <w:tcBorders>
              <w:top w:val="single" w:color="000000" w:sz="2" w:space="0"/>
              <w:bottom w:val="single" w:color="000000" w:sz="2" w:space="0"/>
            </w:tcBorders>
            <w:vAlign w:val="center"/>
          </w:tcPr>
          <w:p w14:paraId="1048231C">
            <w:pPr>
              <w:spacing w:before="90" w:line="229" w:lineRule="auto"/>
              <w:ind w:left="1448"/>
              <w:rPr>
                <w:rFonts w:ascii="宋体" w:hAnsi="宋体" w:eastAsia="宋体" w:cs="宋体"/>
                <w:sz w:val="23"/>
                <w:szCs w:val="23"/>
              </w:rPr>
            </w:pPr>
            <w:r>
              <w:rPr>
                <w:rFonts w:ascii="宋体" w:hAnsi="宋体" w:eastAsia="宋体" w:cs="宋体"/>
                <w:sz w:val="23"/>
                <w:szCs w:val="23"/>
              </w:rPr>
              <w:t>人</w:t>
            </w:r>
          </w:p>
        </w:tc>
        <w:tc>
          <w:tcPr>
            <w:tcW w:w="2724" w:type="dxa"/>
            <w:tcBorders>
              <w:top w:val="single" w:color="000000" w:sz="2" w:space="0"/>
              <w:bottom w:val="single" w:color="000000" w:sz="2" w:space="0"/>
            </w:tcBorders>
            <w:vAlign w:val="center"/>
          </w:tcPr>
          <w:p w14:paraId="4A6536F3">
            <w:pPr>
              <w:spacing w:before="105" w:line="227" w:lineRule="auto"/>
              <w:jc w:val="center"/>
              <w:rPr>
                <w:rFonts w:ascii="宋体" w:hAnsi="宋体" w:eastAsia="宋体" w:cs="宋体"/>
                <w:sz w:val="23"/>
                <w:szCs w:val="23"/>
              </w:rPr>
            </w:pPr>
            <w:r>
              <w:rPr>
                <w:rFonts w:ascii="宋体" w:hAnsi="宋体" w:eastAsia="宋体" w:cs="宋体"/>
                <w:spacing w:val="8"/>
                <w:sz w:val="23"/>
                <w:szCs w:val="23"/>
              </w:rPr>
              <w:t>从</w:t>
            </w:r>
            <w:r>
              <w:rPr>
                <w:rFonts w:ascii="宋体" w:hAnsi="宋体" w:eastAsia="宋体" w:cs="宋体"/>
                <w:spacing w:val="7"/>
                <w:sz w:val="23"/>
                <w:szCs w:val="23"/>
              </w:rPr>
              <w:t>业中药师</w:t>
            </w:r>
          </w:p>
        </w:tc>
        <w:tc>
          <w:tcPr>
            <w:tcW w:w="1803" w:type="dxa"/>
            <w:tcBorders>
              <w:top w:val="single" w:color="000000" w:sz="2" w:space="0"/>
              <w:bottom w:val="single" w:color="000000" w:sz="2" w:space="0"/>
            </w:tcBorders>
            <w:vAlign w:val="center"/>
          </w:tcPr>
          <w:p w14:paraId="0480ACA4">
            <w:pPr>
              <w:spacing w:before="90" w:line="229" w:lineRule="auto"/>
              <w:ind w:left="1779" w:leftChars="556" w:firstLine="230" w:firstLineChars="100"/>
              <w:rPr>
                <w:rFonts w:ascii="宋体" w:hAnsi="宋体" w:eastAsia="宋体" w:cs="宋体"/>
                <w:sz w:val="23"/>
                <w:szCs w:val="23"/>
              </w:rPr>
            </w:pPr>
            <w:r>
              <w:rPr>
                <w:rFonts w:ascii="宋体" w:hAnsi="宋体" w:eastAsia="宋体" w:cs="宋体"/>
                <w:sz w:val="23"/>
                <w:szCs w:val="23"/>
              </w:rPr>
              <w:t>人</w:t>
            </w:r>
          </w:p>
        </w:tc>
      </w:tr>
      <w:tr w14:paraId="1C82B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2978" w:type="dxa"/>
            <w:gridSpan w:val="2"/>
            <w:tcBorders>
              <w:top w:val="single" w:color="000000" w:sz="2" w:space="0"/>
              <w:bottom w:val="single" w:color="000000" w:sz="2" w:space="0"/>
            </w:tcBorders>
            <w:vAlign w:val="center"/>
          </w:tcPr>
          <w:p w14:paraId="030B29F8">
            <w:pPr>
              <w:spacing w:before="105" w:line="227" w:lineRule="auto"/>
              <w:jc w:val="center"/>
              <w:rPr>
                <w:rFonts w:ascii="宋体" w:hAnsi="宋体" w:eastAsia="宋体" w:cs="宋体"/>
                <w:sz w:val="23"/>
                <w:szCs w:val="23"/>
              </w:rPr>
            </w:pPr>
            <w:r>
              <w:rPr>
                <w:rFonts w:ascii="宋体" w:hAnsi="宋体" w:eastAsia="宋体" w:cs="宋体"/>
                <w:spacing w:val="8"/>
                <w:sz w:val="23"/>
                <w:szCs w:val="23"/>
              </w:rPr>
              <w:t>其他药</w:t>
            </w:r>
            <w:r>
              <w:rPr>
                <w:rFonts w:ascii="宋体" w:hAnsi="宋体" w:eastAsia="宋体" w:cs="宋体"/>
                <w:spacing w:val="7"/>
                <w:sz w:val="23"/>
                <w:szCs w:val="23"/>
              </w:rPr>
              <w:t>师</w:t>
            </w:r>
          </w:p>
        </w:tc>
        <w:tc>
          <w:tcPr>
            <w:tcW w:w="1997" w:type="dxa"/>
            <w:tcBorders>
              <w:top w:val="single" w:color="000000" w:sz="2" w:space="0"/>
              <w:bottom w:val="single" w:color="000000" w:sz="2" w:space="0"/>
            </w:tcBorders>
            <w:vAlign w:val="center"/>
          </w:tcPr>
          <w:p w14:paraId="3B45CD80">
            <w:pPr>
              <w:spacing w:before="90" w:line="229" w:lineRule="auto"/>
              <w:ind w:left="1448"/>
              <w:rPr>
                <w:rFonts w:ascii="宋体" w:hAnsi="宋体" w:eastAsia="宋体" w:cs="宋体"/>
                <w:sz w:val="23"/>
                <w:szCs w:val="23"/>
              </w:rPr>
            </w:pPr>
            <w:r>
              <w:rPr>
                <w:rFonts w:ascii="宋体" w:hAnsi="宋体" w:eastAsia="宋体" w:cs="宋体"/>
                <w:sz w:val="23"/>
                <w:szCs w:val="23"/>
              </w:rPr>
              <w:t>人</w:t>
            </w:r>
          </w:p>
        </w:tc>
        <w:tc>
          <w:tcPr>
            <w:tcW w:w="2724" w:type="dxa"/>
            <w:tcBorders>
              <w:top w:val="single" w:color="000000" w:sz="2" w:space="0"/>
              <w:bottom w:val="single" w:color="000000" w:sz="2" w:space="0"/>
            </w:tcBorders>
            <w:vAlign w:val="center"/>
          </w:tcPr>
          <w:p w14:paraId="71E2E7F6">
            <w:pPr>
              <w:spacing w:before="105" w:line="227" w:lineRule="auto"/>
              <w:jc w:val="center"/>
              <w:rPr>
                <w:rFonts w:ascii="宋体" w:hAnsi="宋体" w:eastAsia="宋体" w:cs="宋体"/>
                <w:sz w:val="23"/>
                <w:szCs w:val="23"/>
              </w:rPr>
            </w:pPr>
            <w:r>
              <w:rPr>
                <w:rFonts w:ascii="宋体" w:hAnsi="宋体" w:eastAsia="宋体" w:cs="宋体"/>
                <w:spacing w:val="9"/>
                <w:sz w:val="23"/>
                <w:szCs w:val="23"/>
              </w:rPr>
              <w:t>药</w:t>
            </w:r>
            <w:r>
              <w:rPr>
                <w:rFonts w:ascii="宋体" w:hAnsi="宋体" w:eastAsia="宋体" w:cs="宋体"/>
                <w:spacing w:val="7"/>
                <w:sz w:val="23"/>
                <w:szCs w:val="23"/>
              </w:rPr>
              <w:t>师总人数</w:t>
            </w:r>
          </w:p>
        </w:tc>
        <w:tc>
          <w:tcPr>
            <w:tcW w:w="1803" w:type="dxa"/>
            <w:tcBorders>
              <w:top w:val="single" w:color="000000" w:sz="2" w:space="0"/>
              <w:bottom w:val="single" w:color="000000" w:sz="2" w:space="0"/>
            </w:tcBorders>
            <w:vAlign w:val="center"/>
          </w:tcPr>
          <w:p w14:paraId="3BE0D60E">
            <w:pPr>
              <w:spacing w:before="90" w:line="229" w:lineRule="auto"/>
              <w:ind w:left="1779" w:leftChars="556" w:firstLine="230" w:firstLineChars="100"/>
              <w:rPr>
                <w:rFonts w:ascii="宋体" w:hAnsi="宋体" w:eastAsia="宋体" w:cs="宋体"/>
                <w:sz w:val="23"/>
                <w:szCs w:val="23"/>
              </w:rPr>
            </w:pPr>
            <w:r>
              <w:rPr>
                <w:rFonts w:ascii="宋体" w:hAnsi="宋体" w:eastAsia="宋体" w:cs="宋体"/>
                <w:sz w:val="23"/>
                <w:szCs w:val="23"/>
              </w:rPr>
              <w:t>人</w:t>
            </w:r>
          </w:p>
        </w:tc>
      </w:tr>
      <w:tr w14:paraId="5DF5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8" w:hRule="atLeast"/>
        </w:trPr>
        <w:tc>
          <w:tcPr>
            <w:tcW w:w="1485" w:type="dxa"/>
            <w:tcBorders>
              <w:top w:val="single" w:color="000000" w:sz="2" w:space="0"/>
              <w:bottom w:val="single" w:color="000000" w:sz="2" w:space="0"/>
            </w:tcBorders>
            <w:vAlign w:val="center"/>
          </w:tcPr>
          <w:p w14:paraId="59F023AA">
            <w:pPr>
              <w:spacing w:before="75" w:line="227" w:lineRule="auto"/>
              <w:jc w:val="center"/>
              <w:rPr>
                <w:rFonts w:ascii="宋体" w:hAnsi="宋体" w:eastAsia="宋体" w:cs="宋体"/>
                <w:sz w:val="23"/>
                <w:szCs w:val="23"/>
              </w:rPr>
            </w:pPr>
            <w:r>
              <w:rPr>
                <w:rFonts w:ascii="宋体" w:hAnsi="宋体" w:eastAsia="宋体" w:cs="宋体"/>
                <w:spacing w:val="7"/>
                <w:sz w:val="23"/>
                <w:szCs w:val="23"/>
              </w:rPr>
              <w:t>单位承诺</w:t>
            </w:r>
          </w:p>
        </w:tc>
        <w:tc>
          <w:tcPr>
            <w:tcW w:w="8017" w:type="dxa"/>
            <w:gridSpan w:val="4"/>
            <w:tcBorders>
              <w:top w:val="single" w:color="000000" w:sz="2" w:space="0"/>
              <w:bottom w:val="single" w:color="000000" w:sz="2" w:space="0"/>
            </w:tcBorders>
          </w:tcPr>
          <w:p w14:paraId="12D7BAB5">
            <w:pPr>
              <w:pStyle w:val="9"/>
              <w:widowControl/>
              <w:spacing w:beforeAutospacing="0" w:afterAutospacing="0" w:line="400" w:lineRule="exact"/>
              <w:jc w:val="both"/>
              <w:rPr>
                <w:rFonts w:hint="eastAsia" w:ascii="宋体" w:hAnsi="宋体" w:eastAsia="宋体" w:cs="宋体"/>
                <w:spacing w:val="18"/>
                <w:sz w:val="22"/>
                <w:szCs w:val="22"/>
              </w:rPr>
            </w:pPr>
          </w:p>
          <w:p w14:paraId="5EA85ED4">
            <w:pPr>
              <w:pStyle w:val="9"/>
              <w:widowControl/>
              <w:spacing w:beforeAutospacing="0" w:afterAutospacing="0" w:line="400" w:lineRule="exact"/>
              <w:jc w:val="both"/>
              <w:rPr>
                <w:rFonts w:ascii="宋体" w:hAnsi="宋体" w:eastAsia="宋体" w:cs="宋体"/>
                <w:spacing w:val="9"/>
                <w:sz w:val="22"/>
                <w:szCs w:val="22"/>
              </w:rPr>
            </w:pPr>
            <w:r>
              <w:rPr>
                <w:rFonts w:hint="eastAsia" w:ascii="宋体" w:hAnsi="宋体" w:eastAsia="宋体" w:cs="宋体"/>
                <w:spacing w:val="18"/>
                <w:sz w:val="22"/>
                <w:szCs w:val="22"/>
              </w:rPr>
              <w:t>本单</w:t>
            </w:r>
            <w:r>
              <w:rPr>
                <w:rFonts w:hint="eastAsia" w:ascii="宋体" w:hAnsi="宋体" w:eastAsia="宋体" w:cs="宋体"/>
                <w:spacing w:val="12"/>
                <w:sz w:val="22"/>
                <w:szCs w:val="22"/>
              </w:rPr>
              <w:t>位</w:t>
            </w:r>
            <w:r>
              <w:rPr>
                <w:rFonts w:hint="eastAsia" w:ascii="宋体" w:hAnsi="宋体" w:eastAsia="宋体" w:cs="宋体"/>
                <w:spacing w:val="9"/>
                <w:sz w:val="22"/>
                <w:szCs w:val="22"/>
              </w:rPr>
              <w:t>承诺：已了解《</w:t>
            </w:r>
            <w:r>
              <w:rPr>
                <w:rFonts w:hint="eastAsia" w:ascii="宋体" w:hAnsi="宋体" w:eastAsia="宋体" w:cs="宋体"/>
                <w:sz w:val="22"/>
                <w:szCs w:val="22"/>
                <w:shd w:val="clear" w:color="auto" w:fill="FFFFFF"/>
              </w:rPr>
              <w:t>江西省医疗保障局办公室关于进一步做好定点零售药店纳入门诊统筹管理的通知》等有关政策，自愿申请开通门诊统筹服务。</w:t>
            </w:r>
            <w:r>
              <w:rPr>
                <w:rFonts w:hint="eastAsia" w:ascii="宋体" w:hAnsi="宋体" w:eastAsia="宋体" w:cs="宋体"/>
                <w:spacing w:val="9"/>
                <w:sz w:val="22"/>
                <w:szCs w:val="22"/>
              </w:rPr>
              <w:t>所填报的资料全部真实完整、合法、有效，如因违反</w:t>
            </w:r>
            <w:r>
              <w:rPr>
                <w:rFonts w:hint="eastAsia" w:ascii="宋体" w:hAnsi="宋体" w:eastAsia="宋体" w:cs="宋体"/>
                <w:spacing w:val="17"/>
                <w:sz w:val="22"/>
                <w:szCs w:val="22"/>
              </w:rPr>
              <w:t>上</w:t>
            </w:r>
            <w:r>
              <w:rPr>
                <w:rFonts w:hint="eastAsia" w:ascii="宋体" w:hAnsi="宋体" w:eastAsia="宋体" w:cs="宋体"/>
                <w:spacing w:val="9"/>
                <w:sz w:val="22"/>
                <w:szCs w:val="22"/>
              </w:rPr>
              <w:t>述承诺造成的任何后果或不良影响，本单位一律自行承担责任。</w:t>
            </w:r>
          </w:p>
          <w:p w14:paraId="3AD7CB48">
            <w:pPr>
              <w:pStyle w:val="9"/>
              <w:widowControl/>
              <w:spacing w:beforeAutospacing="0" w:afterAutospacing="0" w:line="400" w:lineRule="exact"/>
              <w:jc w:val="both"/>
              <w:rPr>
                <w:rFonts w:ascii="宋体" w:hAnsi="宋体" w:cs="宋体"/>
                <w:sz w:val="22"/>
                <w:szCs w:val="22"/>
              </w:rPr>
            </w:pPr>
          </w:p>
          <w:p w14:paraId="1E8B3BB1">
            <w:pPr>
              <w:pStyle w:val="9"/>
              <w:widowControl/>
              <w:spacing w:beforeAutospacing="0" w:afterAutospacing="0" w:line="400" w:lineRule="exact"/>
              <w:jc w:val="both"/>
              <w:rPr>
                <w:rFonts w:hint="eastAsia" w:ascii="宋体" w:hAnsi="宋体" w:cs="宋体"/>
                <w:sz w:val="22"/>
                <w:szCs w:val="22"/>
              </w:rPr>
            </w:pPr>
          </w:p>
          <w:p w14:paraId="620679FE">
            <w:pPr>
              <w:pStyle w:val="9"/>
              <w:widowControl/>
              <w:spacing w:beforeAutospacing="0" w:afterAutospacing="0" w:line="400" w:lineRule="exact"/>
              <w:jc w:val="both"/>
              <w:rPr>
                <w:rFonts w:hint="eastAsia" w:ascii="宋体" w:hAnsi="宋体" w:cs="宋体"/>
                <w:sz w:val="22"/>
                <w:szCs w:val="22"/>
              </w:rPr>
            </w:pPr>
          </w:p>
          <w:p w14:paraId="34C17589">
            <w:pPr>
              <w:pStyle w:val="9"/>
              <w:widowControl/>
              <w:spacing w:beforeAutospacing="0" w:afterAutospacing="0" w:line="400" w:lineRule="exact"/>
              <w:jc w:val="both"/>
              <w:rPr>
                <w:rFonts w:ascii="宋体" w:hAnsi="宋体" w:cs="宋体"/>
                <w:sz w:val="22"/>
                <w:szCs w:val="22"/>
              </w:rPr>
            </w:pPr>
          </w:p>
          <w:p w14:paraId="19CDA0B9">
            <w:pPr>
              <w:pStyle w:val="9"/>
              <w:widowControl/>
              <w:spacing w:beforeAutospacing="0" w:afterAutospacing="0" w:line="400" w:lineRule="exact"/>
              <w:jc w:val="both"/>
              <w:rPr>
                <w:rFonts w:hint="eastAsia" w:ascii="宋体" w:hAnsi="宋体" w:eastAsia="宋体" w:cs="宋体"/>
                <w:sz w:val="22"/>
                <w:szCs w:val="22"/>
              </w:rPr>
            </w:pPr>
          </w:p>
          <w:p w14:paraId="799868B6">
            <w:pPr>
              <w:pStyle w:val="9"/>
              <w:widowControl/>
              <w:spacing w:beforeAutospacing="0" w:afterAutospacing="0" w:line="400" w:lineRule="exact"/>
              <w:jc w:val="both"/>
              <w:rPr>
                <w:rFonts w:hint="eastAsia" w:ascii="宋体" w:hAnsi="宋体" w:eastAsia="宋体" w:cs="宋体"/>
                <w:sz w:val="22"/>
                <w:szCs w:val="22"/>
              </w:rPr>
            </w:pPr>
          </w:p>
          <w:p w14:paraId="3692D9B3">
            <w:pPr>
              <w:pStyle w:val="9"/>
              <w:widowControl/>
              <w:spacing w:beforeAutospacing="0" w:afterAutospacing="0" w:line="400" w:lineRule="exact"/>
              <w:jc w:val="both"/>
              <w:rPr>
                <w:rFonts w:hint="eastAsia" w:ascii="宋体" w:hAnsi="宋体" w:eastAsia="宋体" w:cs="宋体"/>
                <w:sz w:val="22"/>
                <w:szCs w:val="22"/>
              </w:rPr>
            </w:pPr>
          </w:p>
          <w:p w14:paraId="247D5C4F">
            <w:pPr>
              <w:pStyle w:val="9"/>
              <w:widowControl/>
              <w:spacing w:beforeAutospacing="0" w:afterAutospacing="0" w:line="400" w:lineRule="exact"/>
              <w:jc w:val="both"/>
              <w:rPr>
                <w:rFonts w:ascii="宋体" w:hAnsi="宋体" w:eastAsia="宋体" w:cs="宋体"/>
                <w:sz w:val="22"/>
                <w:szCs w:val="22"/>
              </w:rPr>
            </w:pPr>
          </w:p>
          <w:p w14:paraId="6695E14A">
            <w:pPr>
              <w:widowControl/>
              <w:spacing w:before="137" w:line="400" w:lineRule="exact"/>
              <w:ind w:left="37"/>
              <w:rPr>
                <w:rFonts w:ascii="宋体" w:hAnsi="宋体" w:eastAsia="宋体" w:cs="宋体"/>
                <w:sz w:val="23"/>
                <w:szCs w:val="23"/>
              </w:rPr>
            </w:pPr>
            <w:r>
              <w:rPr>
                <w:rFonts w:ascii="宋体" w:hAnsi="宋体" w:eastAsia="宋体" w:cs="宋体"/>
                <w:spacing w:val="-1"/>
                <w:sz w:val="23"/>
                <w:szCs w:val="23"/>
              </w:rPr>
              <w:t>法定代表人签</w:t>
            </w:r>
            <w:r>
              <w:rPr>
                <w:rFonts w:ascii="宋体" w:hAnsi="宋体" w:eastAsia="宋体" w:cs="宋体"/>
                <w:sz w:val="23"/>
                <w:szCs w:val="23"/>
              </w:rPr>
              <w:t>字：                         单位公章：</w:t>
            </w:r>
          </w:p>
          <w:p w14:paraId="382E52B8">
            <w:pPr>
              <w:widowControl/>
              <w:spacing w:before="240" w:line="400" w:lineRule="exact"/>
              <w:ind w:left="4734"/>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月  日</w:t>
            </w:r>
          </w:p>
        </w:tc>
      </w:tr>
    </w:tbl>
    <w:p w14:paraId="1F9841B1">
      <w:pPr>
        <w:pStyle w:val="2"/>
        <w:spacing w:line="100" w:lineRule="exact"/>
        <w:ind w:firstLine="0" w:firstLineChars="0"/>
      </w:pPr>
    </w:p>
    <w:p w14:paraId="4ECA9F2A">
      <w:pPr>
        <w:spacing w:line="300" w:lineRule="exact"/>
        <w:jc w:val="center"/>
        <w:sectPr>
          <w:pgSz w:w="11906" w:h="16838"/>
          <w:pgMar w:top="1134" w:right="1134" w:bottom="1134" w:left="1134" w:header="851" w:footer="992" w:gutter="0"/>
          <w:cols w:space="0" w:num="1"/>
          <w:docGrid w:type="lines" w:linePitch="318" w:charSpace="0"/>
        </w:sectPr>
      </w:pPr>
    </w:p>
    <w:p w14:paraId="099BE1D8">
      <w:pPr>
        <w:rPr>
          <w:rFonts w:hint="eastAsia"/>
        </w:rPr>
      </w:pPr>
    </w:p>
    <w:p w14:paraId="091D32EC">
      <w:pPr>
        <w:rPr>
          <w:rFonts w:hint="eastAsia"/>
        </w:rPr>
      </w:pPr>
    </w:p>
    <w:p w14:paraId="792A2A92">
      <w:pPr>
        <w:rPr>
          <w:rFonts w:hint="eastAsia"/>
        </w:rPr>
      </w:pPr>
    </w:p>
    <w:p w14:paraId="6431D797">
      <w:pPr>
        <w:pStyle w:val="2"/>
        <w:ind w:firstLine="640"/>
        <w:rPr>
          <w:rFonts w:hint="eastAsia"/>
        </w:rPr>
      </w:pPr>
    </w:p>
    <w:p w14:paraId="13195448">
      <w:pPr>
        <w:pStyle w:val="2"/>
        <w:ind w:firstLine="640"/>
        <w:rPr>
          <w:rFonts w:hint="eastAsia"/>
        </w:rPr>
      </w:pPr>
    </w:p>
    <w:p w14:paraId="0BFB235E">
      <w:pPr>
        <w:pStyle w:val="2"/>
        <w:ind w:firstLine="640"/>
        <w:rPr>
          <w:rFonts w:hint="eastAsia"/>
        </w:rPr>
      </w:pPr>
    </w:p>
    <w:p w14:paraId="1A5781DE">
      <w:pPr>
        <w:pStyle w:val="2"/>
        <w:ind w:firstLine="640"/>
        <w:rPr>
          <w:rFonts w:hint="eastAsia"/>
        </w:rPr>
      </w:pPr>
    </w:p>
    <w:p w14:paraId="33E3D055">
      <w:pPr>
        <w:pStyle w:val="2"/>
        <w:ind w:firstLine="640"/>
        <w:rPr>
          <w:rFonts w:hint="eastAsia"/>
        </w:rPr>
      </w:pPr>
    </w:p>
    <w:p w14:paraId="176D8089">
      <w:pPr>
        <w:pStyle w:val="2"/>
        <w:ind w:firstLine="640"/>
        <w:rPr>
          <w:rFonts w:hint="eastAsia"/>
        </w:rPr>
      </w:pPr>
    </w:p>
    <w:p w14:paraId="4AEF1103">
      <w:pPr>
        <w:pStyle w:val="2"/>
        <w:ind w:firstLine="640"/>
        <w:rPr>
          <w:rFonts w:hint="eastAsia"/>
        </w:rPr>
      </w:pPr>
    </w:p>
    <w:p w14:paraId="7C6A8AB5">
      <w:pPr>
        <w:pStyle w:val="2"/>
        <w:ind w:firstLine="640"/>
        <w:rPr>
          <w:rFonts w:hint="eastAsia"/>
        </w:rPr>
      </w:pPr>
    </w:p>
    <w:p w14:paraId="2B7D6B60">
      <w:pPr>
        <w:pStyle w:val="2"/>
        <w:ind w:firstLine="640"/>
        <w:rPr>
          <w:rFonts w:hint="eastAsia"/>
        </w:rPr>
      </w:pPr>
    </w:p>
    <w:p w14:paraId="59F38620">
      <w:pPr>
        <w:pStyle w:val="2"/>
        <w:ind w:firstLine="640"/>
        <w:rPr>
          <w:rFonts w:hint="eastAsia"/>
        </w:rPr>
      </w:pPr>
    </w:p>
    <w:p w14:paraId="7263F66E">
      <w:pPr>
        <w:pStyle w:val="2"/>
        <w:ind w:firstLine="640"/>
        <w:rPr>
          <w:rFonts w:hint="eastAsia"/>
        </w:rPr>
      </w:pPr>
    </w:p>
    <w:p w14:paraId="7F9214FA">
      <w:pPr>
        <w:pStyle w:val="2"/>
        <w:ind w:firstLine="640"/>
        <w:rPr>
          <w:rFonts w:hint="eastAsia"/>
        </w:rPr>
      </w:pPr>
    </w:p>
    <w:p w14:paraId="07E69DED">
      <w:pPr>
        <w:pStyle w:val="2"/>
        <w:ind w:firstLine="640"/>
        <w:rPr>
          <w:rFonts w:hint="eastAsia"/>
        </w:rPr>
      </w:pPr>
    </w:p>
    <w:p w14:paraId="04BF11D4">
      <w:pPr>
        <w:pStyle w:val="2"/>
        <w:ind w:firstLine="640"/>
        <w:rPr>
          <w:rFonts w:hint="eastAsia"/>
        </w:rPr>
      </w:pPr>
    </w:p>
    <w:p w14:paraId="49BFDB0B">
      <w:pPr>
        <w:pStyle w:val="2"/>
        <w:ind w:firstLine="640"/>
        <w:rPr>
          <w:rFonts w:hint="eastAsia"/>
        </w:rPr>
      </w:pPr>
    </w:p>
    <w:p w14:paraId="6049D5ED">
      <w:pPr>
        <w:pStyle w:val="2"/>
        <w:ind w:firstLine="640"/>
        <w:rPr>
          <w:rFonts w:hint="eastAsia"/>
        </w:rPr>
      </w:pPr>
    </w:p>
    <w:p w14:paraId="2DA0F663">
      <w:pPr>
        <w:pStyle w:val="2"/>
        <w:ind w:firstLine="640"/>
        <w:rPr>
          <w:rFonts w:hint="eastAsia"/>
        </w:rPr>
      </w:pPr>
    </w:p>
    <w:p w14:paraId="3CDF14DD">
      <w:pPr>
        <w:pStyle w:val="2"/>
        <w:ind w:firstLine="640"/>
        <w:rPr>
          <w:rFonts w:hint="eastAsia"/>
        </w:rPr>
      </w:pPr>
    </w:p>
    <w:p w14:paraId="4E116AB8">
      <w:pPr>
        <w:pStyle w:val="2"/>
        <w:ind w:firstLine="640"/>
      </w:pP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019C3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60" w:type="dxa"/>
            <w:vAlign w:val="center"/>
          </w:tcPr>
          <w:p w14:paraId="4E17C159">
            <w:pPr>
              <w:spacing w:line="300" w:lineRule="exact"/>
              <w:jc w:val="center"/>
              <w:rPr>
                <w:rFonts w:ascii="仿宋_GB2312"/>
                <w:kern w:val="0"/>
                <w:szCs w:val="20"/>
              </w:rPr>
            </w:pPr>
            <w:r>
              <w:br w:type="page"/>
            </w:r>
            <w:r>
              <w:rPr>
                <w:rFonts w:ascii="仿宋_GB2312" w:hAnsi="仿宋_GB2312" w:cs="仿宋_GB2312"/>
                <w:szCs w:val="32"/>
              </w:rPr>
              <w:br w:type="page"/>
            </w:r>
            <w:r>
              <w:rPr>
                <w:rFonts w:hint="eastAsia" w:ascii="仿宋_GB2312" w:hAnsi="仿宋" w:cs="仿宋"/>
                <w:kern w:val="0"/>
                <w:sz w:val="28"/>
                <w:szCs w:val="28"/>
              </w:rPr>
              <w:t xml:space="preserve">江西省医疗保障局办公室 </w:t>
            </w:r>
            <w:r>
              <w:rPr>
                <w:rFonts w:hint="eastAsia" w:ascii="仿宋_GB2312"/>
                <w:kern w:val="0"/>
                <w:sz w:val="28"/>
                <w:szCs w:val="28"/>
              </w:rPr>
              <w:t xml:space="preserve">                    2023年3月14日印发</w:t>
            </w:r>
          </w:p>
        </w:tc>
      </w:tr>
    </w:tbl>
    <w:p w14:paraId="105AD442">
      <w:pPr>
        <w:pStyle w:val="5"/>
        <w:spacing w:line="20" w:lineRule="exact"/>
        <w:rPr>
          <w:rFonts w:ascii="仿宋_GB2312" w:hAnsi="仿宋_GB2312" w:eastAsia="仿宋_GB2312" w:cs="仿宋_GB2312"/>
          <w:szCs w:val="32"/>
        </w:rPr>
      </w:pPr>
    </w:p>
    <w:p w14:paraId="53360F96">
      <w:pPr>
        <w:spacing w:line="20" w:lineRule="exact"/>
        <w:jc w:val="left"/>
      </w:pPr>
    </w:p>
    <w:sectPr>
      <w:pgSz w:w="11906" w:h="16838"/>
      <w:pgMar w:top="2098" w:right="1474" w:bottom="1418" w:left="1588" w:header="851" w:footer="992" w:gutter="0"/>
      <w:cols w:space="0" w:num="1"/>
      <w:docGrid w:type="linesAndChar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155989-BA44-452B-A589-839FA64D34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A89504B-D4E9-4C63-AE8A-44ED4F16CF41}"/>
  </w:font>
  <w:font w:name="仿宋_GB2312">
    <w:panose1 w:val="02010609030101010101"/>
    <w:charset w:val="86"/>
    <w:family w:val="modern"/>
    <w:pitch w:val="default"/>
    <w:sig w:usb0="00000001" w:usb1="080E0000" w:usb2="00000000" w:usb3="00000000" w:csb0="00040000" w:csb1="00000000"/>
    <w:embedRegular r:id="rId3" w:fontKey="{CE54F286-B197-4F64-B188-3BF6E7E036B7}"/>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E0000" w:usb2="00000000" w:usb3="00000000" w:csb0="00040000" w:csb1="00000000"/>
    <w:embedRegular r:id="rId4" w:fontKey="{0FD42F7C-60CD-43D7-940D-ADAD66821969}"/>
  </w:font>
  <w:font w:name="楷体_GB2312">
    <w:altName w:val="楷体"/>
    <w:panose1 w:val="02010609030101010101"/>
    <w:charset w:val="86"/>
    <w:family w:val="modern"/>
    <w:pitch w:val="default"/>
    <w:sig w:usb0="00000000" w:usb1="00000000" w:usb2="00000010" w:usb3="00000000" w:csb0="00040000" w:csb1="00000000"/>
    <w:embedRegular r:id="rId5" w:fontKey="{AB3C20C6-92EF-456B-8C35-B3C92DE47575}"/>
  </w:font>
  <w:font w:name="楷体">
    <w:panose1 w:val="02010609060101010101"/>
    <w:charset w:val="86"/>
    <w:family w:val="modern"/>
    <w:pitch w:val="default"/>
    <w:sig w:usb0="800002BF" w:usb1="38CF7CFA" w:usb2="00000016" w:usb3="00000000" w:csb0="00040001" w:csb1="00000000"/>
    <w:embedRegular r:id="rId6" w:fontKey="{F7865450-7AE6-4A25-A7DE-FE09C0A10932}"/>
  </w:font>
  <w:font w:name="仿宋">
    <w:panose1 w:val="02010609060101010101"/>
    <w:charset w:val="86"/>
    <w:family w:val="modern"/>
    <w:pitch w:val="default"/>
    <w:sig w:usb0="800002BF" w:usb1="38CF7CFA" w:usb2="00000016" w:usb3="00000000" w:csb0="00040001" w:csb1="00000000"/>
    <w:embedRegular r:id="rId7" w:fontKey="{EBD37338-6E93-43F0-AACA-5D5836D7CF45}"/>
  </w:font>
  <w:font w:name="微软雅黑">
    <w:panose1 w:val="020B0503020204020204"/>
    <w:charset w:val="86"/>
    <w:family w:val="swiss"/>
    <w:pitch w:val="default"/>
    <w:sig w:usb0="80000287" w:usb1="2ACF3C50" w:usb2="00000016" w:usb3="00000000" w:csb0="0004001F" w:csb1="00000000"/>
    <w:embedRegular r:id="rId8" w:fontKey="{1E17D415-CBF4-4D18-BF8B-2232F5715764}"/>
  </w:font>
  <w:font w:name="Arial">
    <w:panose1 w:val="020B0604020202020204"/>
    <w:charset w:val="00"/>
    <w:family w:val="swiss"/>
    <w:pitch w:val="default"/>
    <w:sig w:usb0="E0002EFF" w:usb1="C000785B" w:usb2="00000009" w:usb3="00000000" w:csb0="400001FF" w:csb1="FFFF0000"/>
    <w:embedRegular r:id="rId9" w:fontKey="{DDD719D3-8710-4E1C-B330-88B6EFE9B401}"/>
  </w:font>
  <w:font w:name="Wingdings 2">
    <w:panose1 w:val="05020102010507070707"/>
    <w:charset w:val="02"/>
    <w:family w:val="roman"/>
    <w:pitch w:val="default"/>
    <w:sig w:usb0="00000000" w:usb1="00000000" w:usb2="00000000" w:usb3="00000000" w:csb0="80000000" w:csb1="00000000"/>
    <w:embedRegular r:id="rId10" w:fontKey="{ACEB1CD6-A5A3-4C10-8E96-B76AB85FD8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5CE4">
    <w:pPr>
      <w:pStyle w:val="7"/>
      <w:ind w:left="1080" w:right="32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5EFF">
    <w:pPr>
      <w:pStyle w:val="7"/>
      <w:ind w:right="740"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9E08A"/>
    <w:multiLevelType w:val="singleLevel"/>
    <w:tmpl w:val="2CC9E0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0E5007"/>
    <w:rsid w:val="00013807"/>
    <w:rsid w:val="000324E4"/>
    <w:rsid w:val="00042328"/>
    <w:rsid w:val="00047030"/>
    <w:rsid w:val="00052A77"/>
    <w:rsid w:val="000C6C3C"/>
    <w:rsid w:val="000E7F66"/>
    <w:rsid w:val="001246C9"/>
    <w:rsid w:val="00153019"/>
    <w:rsid w:val="00186860"/>
    <w:rsid w:val="001922CC"/>
    <w:rsid w:val="001D43ED"/>
    <w:rsid w:val="001F27E0"/>
    <w:rsid w:val="001F7E76"/>
    <w:rsid w:val="002211E9"/>
    <w:rsid w:val="00296F18"/>
    <w:rsid w:val="002B7CF4"/>
    <w:rsid w:val="002D62C8"/>
    <w:rsid w:val="003E21A1"/>
    <w:rsid w:val="00470557"/>
    <w:rsid w:val="00482615"/>
    <w:rsid w:val="0049129B"/>
    <w:rsid w:val="004E1B69"/>
    <w:rsid w:val="005325F7"/>
    <w:rsid w:val="005803A3"/>
    <w:rsid w:val="00584E68"/>
    <w:rsid w:val="005E77BA"/>
    <w:rsid w:val="00637244"/>
    <w:rsid w:val="00646AA7"/>
    <w:rsid w:val="006A4278"/>
    <w:rsid w:val="006D6737"/>
    <w:rsid w:val="00705AF3"/>
    <w:rsid w:val="007111F6"/>
    <w:rsid w:val="00721236"/>
    <w:rsid w:val="00735141"/>
    <w:rsid w:val="00765961"/>
    <w:rsid w:val="007B6C84"/>
    <w:rsid w:val="007C238E"/>
    <w:rsid w:val="007D4AA7"/>
    <w:rsid w:val="007E1955"/>
    <w:rsid w:val="00805F70"/>
    <w:rsid w:val="008A2578"/>
    <w:rsid w:val="008B1CC4"/>
    <w:rsid w:val="008B7D05"/>
    <w:rsid w:val="008D153A"/>
    <w:rsid w:val="009758EC"/>
    <w:rsid w:val="00993599"/>
    <w:rsid w:val="009B74A8"/>
    <w:rsid w:val="00A229EE"/>
    <w:rsid w:val="00A50E7F"/>
    <w:rsid w:val="00B016F0"/>
    <w:rsid w:val="00B45E52"/>
    <w:rsid w:val="00BA350B"/>
    <w:rsid w:val="00BB37DA"/>
    <w:rsid w:val="00BF7F8F"/>
    <w:rsid w:val="00C31E67"/>
    <w:rsid w:val="00C960C3"/>
    <w:rsid w:val="00D24638"/>
    <w:rsid w:val="00DA5059"/>
    <w:rsid w:val="00DB3D89"/>
    <w:rsid w:val="00DC4B67"/>
    <w:rsid w:val="00E04A5C"/>
    <w:rsid w:val="00E102D8"/>
    <w:rsid w:val="00E24807"/>
    <w:rsid w:val="00E54E17"/>
    <w:rsid w:val="00E74483"/>
    <w:rsid w:val="00EE0116"/>
    <w:rsid w:val="00F02689"/>
    <w:rsid w:val="00F55240"/>
    <w:rsid w:val="00FA488E"/>
    <w:rsid w:val="00FC4200"/>
    <w:rsid w:val="00FF016F"/>
    <w:rsid w:val="0691312B"/>
    <w:rsid w:val="096523D6"/>
    <w:rsid w:val="2BF042B7"/>
    <w:rsid w:val="41BF7E5F"/>
    <w:rsid w:val="43D17950"/>
    <w:rsid w:val="459A697C"/>
    <w:rsid w:val="538A4A4A"/>
    <w:rsid w:val="5899354F"/>
    <w:rsid w:val="64F12377"/>
    <w:rsid w:val="6A0E5007"/>
    <w:rsid w:val="735004AD"/>
    <w:rsid w:val="7C764A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23"/>
    <w:qFormat/>
    <w:uiPriority w:val="0"/>
    <w:pPr>
      <w:spacing w:before="100" w:beforeAutospacing="1" w:after="100" w:afterAutospacing="1" w:line="240" w:lineRule="auto"/>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uiPriority w:val="0"/>
    <w:pPr>
      <w:ind w:firstLine="880" w:firstLineChars="200"/>
    </w:pPr>
    <w:rPr>
      <w:rFonts w:ascii="仿宋_GB2312" w:hAnsi="仿宋_GB2312"/>
    </w:rPr>
  </w:style>
  <w:style w:type="paragraph" w:styleId="4">
    <w:name w:val="Body Text"/>
    <w:basedOn w:val="1"/>
    <w:link w:val="19"/>
    <w:qFormat/>
    <w:uiPriority w:val="0"/>
    <w:pPr>
      <w:spacing w:after="120" w:line="240" w:lineRule="auto"/>
    </w:pPr>
    <w:rPr>
      <w:rFonts w:ascii="Times New Roman" w:hAnsi="Times New Roman" w:eastAsia="宋体" w:cs="Times New Roman"/>
      <w:sz w:val="21"/>
    </w:rPr>
  </w:style>
  <w:style w:type="paragraph" w:styleId="5">
    <w:name w:val="Plain Text"/>
    <w:basedOn w:val="1"/>
    <w:link w:val="21"/>
    <w:qFormat/>
    <w:uiPriority w:val="0"/>
    <w:pPr>
      <w:spacing w:line="240" w:lineRule="auto"/>
    </w:pPr>
    <w:rPr>
      <w:rFonts w:ascii="宋体" w:hAnsi="Courier New" w:eastAsia="宋体" w:cs="Courier New"/>
      <w:szCs w:val="21"/>
    </w:rPr>
  </w:style>
  <w:style w:type="paragraph" w:styleId="6">
    <w:name w:val="Date"/>
    <w:basedOn w:val="1"/>
    <w:next w:val="1"/>
    <w:link w:val="29"/>
    <w:uiPriority w:val="0"/>
    <w:pPr>
      <w:ind w:left="100" w:leftChars="2500"/>
    </w:pPr>
  </w:style>
  <w:style w:type="paragraph" w:styleId="7">
    <w:name w:val="footer"/>
    <w:basedOn w:val="1"/>
    <w:link w:val="22"/>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Autospacing="1" w:afterAutospacing="1" w:line="240" w:lineRule="auto"/>
      <w:jc w:val="left"/>
    </w:pPr>
    <w:rPr>
      <w:rFonts w:cs="Times New Roman" w:eastAsiaTheme="minorEastAsia"/>
      <w:kern w:val="0"/>
      <w:sz w:val="24"/>
    </w:rPr>
  </w:style>
  <w:style w:type="paragraph" w:styleId="10">
    <w:name w:val="Body Text First Indent"/>
    <w:basedOn w:val="4"/>
    <w:link w:val="24"/>
    <w:uiPriority w:val="0"/>
    <w:pPr>
      <w:spacing w:line="560" w:lineRule="exact"/>
      <w:ind w:firstLine="420" w:firstLineChars="100"/>
    </w:pPr>
    <w:rPr>
      <w:rFonts w:eastAsia="仿宋_GB2312" w:asciiTheme="minorHAnsi" w:hAnsiTheme="minorHAnsi" w:cstheme="minorBidi"/>
      <w:sz w:val="32"/>
    </w:rPr>
  </w:style>
  <w:style w:type="character" w:styleId="13">
    <w:name w:val="Strong"/>
    <w:basedOn w:val="12"/>
    <w:qFormat/>
    <w:uiPriority w:val="0"/>
    <w:rPr>
      <w:b/>
    </w:rPr>
  </w:style>
  <w:style w:type="character" w:styleId="14">
    <w:name w:val="Hyperlink"/>
    <w:basedOn w:val="12"/>
    <w:uiPriority w:val="0"/>
    <w:rPr>
      <w:color w:val="0563C1" w:themeColor="hyperlink"/>
      <w:u w:val="single"/>
    </w:rPr>
  </w:style>
  <w:style w:type="character" w:customStyle="1" w:styleId="15">
    <w:name w:val="font01"/>
    <w:basedOn w:val="12"/>
    <w:uiPriority w:val="0"/>
    <w:rPr>
      <w:rFonts w:hint="eastAsia" w:ascii="宋体" w:hAnsi="宋体" w:eastAsia="宋体" w:cs="宋体"/>
      <w:color w:val="000000"/>
      <w:sz w:val="24"/>
      <w:szCs w:val="24"/>
      <w:u w:val="single"/>
    </w:rPr>
  </w:style>
  <w:style w:type="character" w:customStyle="1" w:styleId="16">
    <w:name w:val="font31"/>
    <w:basedOn w:val="12"/>
    <w:uiPriority w:val="0"/>
    <w:rPr>
      <w:rFonts w:hint="eastAsia" w:ascii="宋体" w:hAnsi="宋体" w:eastAsia="宋体" w:cs="宋体"/>
      <w:color w:val="000000"/>
      <w:sz w:val="24"/>
      <w:szCs w:val="24"/>
      <w:u w:val="none"/>
    </w:rPr>
  </w:style>
  <w:style w:type="character" w:customStyle="1" w:styleId="17">
    <w:name w:val="font11"/>
    <w:basedOn w:val="12"/>
    <w:uiPriority w:val="0"/>
    <w:rPr>
      <w:rFonts w:hint="eastAsia" w:ascii="宋体" w:hAnsi="宋体" w:eastAsia="宋体" w:cs="宋体"/>
      <w:strike/>
      <w:color w:val="000000"/>
      <w:sz w:val="24"/>
      <w:szCs w:val="24"/>
    </w:rPr>
  </w:style>
  <w:style w:type="character" w:customStyle="1" w:styleId="18">
    <w:name w:val="font21"/>
    <w:basedOn w:val="12"/>
    <w:uiPriority w:val="0"/>
    <w:rPr>
      <w:rFonts w:hint="eastAsia" w:ascii="宋体" w:hAnsi="宋体" w:eastAsia="宋体" w:cs="宋体"/>
      <w:color w:val="000000"/>
      <w:sz w:val="24"/>
      <w:szCs w:val="24"/>
      <w:u w:val="none"/>
    </w:rPr>
  </w:style>
  <w:style w:type="character" w:customStyle="1" w:styleId="19">
    <w:name w:val="正文文本 Char"/>
    <w:basedOn w:val="12"/>
    <w:link w:val="4"/>
    <w:uiPriority w:val="0"/>
    <w:rPr>
      <w:kern w:val="2"/>
      <w:sz w:val="21"/>
      <w:szCs w:val="24"/>
    </w:rPr>
  </w:style>
  <w:style w:type="paragraph" w:customStyle="1" w:styleId="20">
    <w:name w:val="文件格式"/>
    <w:basedOn w:val="1"/>
    <w:qFormat/>
    <w:uiPriority w:val="99"/>
    <w:pPr>
      <w:widowControl/>
      <w:spacing w:line="460" w:lineRule="atLeast"/>
      <w:ind w:left="1" w:firstLine="419"/>
      <w:textAlignment w:val="bottom"/>
    </w:pPr>
    <w:rPr>
      <w:rFonts w:ascii="Times New Roman" w:hAnsi="Times New Roman" w:cs="Times New Roman"/>
      <w:kern w:val="0"/>
      <w:sz w:val="21"/>
      <w:szCs w:val="32"/>
    </w:rPr>
  </w:style>
  <w:style w:type="character" w:customStyle="1" w:styleId="21">
    <w:name w:val="纯文本 Char"/>
    <w:basedOn w:val="12"/>
    <w:link w:val="5"/>
    <w:qFormat/>
    <w:uiPriority w:val="99"/>
    <w:rPr>
      <w:rFonts w:ascii="宋体" w:hAnsi="Courier New" w:cs="Courier New"/>
      <w:kern w:val="2"/>
      <w:sz w:val="32"/>
      <w:szCs w:val="21"/>
    </w:rPr>
  </w:style>
  <w:style w:type="character" w:customStyle="1" w:styleId="22">
    <w:name w:val="页脚 Char"/>
    <w:link w:val="7"/>
    <w:qFormat/>
    <w:uiPriority w:val="99"/>
    <w:rPr>
      <w:rFonts w:eastAsia="仿宋_GB2312" w:asciiTheme="minorHAnsi" w:hAnsiTheme="minorHAnsi" w:cstheme="minorBidi"/>
      <w:kern w:val="2"/>
      <w:sz w:val="18"/>
      <w:szCs w:val="24"/>
    </w:rPr>
  </w:style>
  <w:style w:type="character" w:customStyle="1" w:styleId="23">
    <w:name w:val="标题 1 Char"/>
    <w:basedOn w:val="12"/>
    <w:link w:val="3"/>
    <w:uiPriority w:val="0"/>
    <w:rPr>
      <w:rFonts w:ascii="宋体" w:hAnsi="宋体"/>
      <w:b/>
      <w:kern w:val="44"/>
      <w:sz w:val="48"/>
      <w:szCs w:val="48"/>
    </w:rPr>
  </w:style>
  <w:style w:type="character" w:customStyle="1" w:styleId="24">
    <w:name w:val="正文首行缩进 Char"/>
    <w:basedOn w:val="19"/>
    <w:link w:val="10"/>
    <w:uiPriority w:val="0"/>
    <w:rPr>
      <w:rFonts w:eastAsia="仿宋_GB2312" w:asciiTheme="minorHAnsi" w:hAnsiTheme="minorHAnsi" w:cstheme="minorBidi"/>
      <w:sz w:val="32"/>
    </w:rPr>
  </w:style>
  <w:style w:type="paragraph" w:customStyle="1" w:styleId="25">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7">
    <w:name w:val="AB正文"/>
    <w:basedOn w:val="1"/>
    <w:qFormat/>
    <w:uiPriority w:val="0"/>
    <w:pPr>
      <w:widowControl/>
      <w:wordWrap w:val="0"/>
      <w:adjustRightInd w:val="0"/>
      <w:snapToGrid w:val="0"/>
      <w:spacing w:line="588" w:lineRule="exact"/>
      <w:ind w:firstLine="640" w:firstLineChars="200"/>
    </w:pPr>
    <w:rPr>
      <w:color w:val="000000"/>
      <w:szCs w:val="32"/>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日期 Char"/>
    <w:basedOn w:val="12"/>
    <w:link w:val="6"/>
    <w:uiPriority w:val="0"/>
    <w:rPr>
      <w:rFonts w:eastAsia="仿宋_GB2312" w:asciiTheme="minorHAnsi" w:hAnsiTheme="minorHAnsi" w:cstheme="minorBidi"/>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3651</Words>
  <Characters>3669</Characters>
  <Lines>27</Lines>
  <Paragraphs>7</Paragraphs>
  <TotalTime>6</TotalTime>
  <ScaleCrop>false</ScaleCrop>
  <LinksUpToDate>false</LinksUpToDate>
  <CharactersWithSpaces>3741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2023-03-15T06:56:00Z</dcterms:created>
  <dc:creator>Akihiro</dc:creator>
  <cp:lastModifiedBy>行云流水</cp:lastModifiedBy>
  <cp:lastPrinted>2023-02-23T08:59:00Z</cp:lastPrinted>
  <dcterms:modified xsi:type="dcterms:W3CDTF">2025-01-20T01:15:11Z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eyJoZGlkIjoiMDE0ZmE0NmQ5NmFhNjhlOTdiY2NhNTRhNDQyZTE0ZjAiLCJ1c2VySWQiOiI5NDY0MDAxIn0=</vt:lpwstr>
  </property>
  <property fmtid="{D5CDD505-2E9C-101B-9397-08002B2CF9AE}" pid="4" name="ICV">
    <vt:lpwstr>F52C69F46CD6439AA598AC16F4DF549A_12</vt:lpwstr>
  </property>
</Properties>
</file>