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16</w:t>
      </w:r>
      <w:r>
        <w:rPr>
          <w:rFonts w:hint="eastAsia" w:ascii="黑体" w:hAnsi="宋体" w:eastAsia="黑体"/>
          <w:color w:val="000000"/>
          <w:sz w:val="28"/>
          <w:szCs w:val="28"/>
        </w:rPr>
        <w:t>-2024</w:t>
      </w:r>
      <w:r>
        <w:rPr>
          <w:rFonts w:ascii="宋体" w:hAnsi="宋体" w:eastAsia="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eastAsia="宋体"/>
          <w:color w:val="000000"/>
          <w:spacing w:val="0"/>
          <w:w w:val="100"/>
          <w:sz w:val="44"/>
          <w:szCs w:val="44"/>
          <w:highlight w:val="yellow"/>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widowControl w:val="0"/>
        <w:jc w:val="both"/>
        <w:rPr>
          <w:rFonts w:hint="eastAsia" w:ascii="宋体" w:hAnsi="宋体" w:eastAsia="宋体" w:cs="宋体"/>
          <w:spacing w:val="0"/>
          <w:w w:val="100"/>
          <w:kern w:val="2"/>
          <w:sz w:val="18"/>
          <w:szCs w:val="18"/>
          <w:lang w:val="en-US" w:eastAsia="zh-CN" w:bidi="ar-SA"/>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家用燃气灶</w:t>
      </w:r>
    </w:p>
    <w:p>
      <w:pPr>
        <w:widowControl w:val="0"/>
        <w:jc w:val="both"/>
        <w:rPr>
          <w:rFonts w:ascii="宋体" w:hAnsi="宋体" w:eastAsia="宋体" w:cs="宋体"/>
          <w:color w:val="000000"/>
          <w:spacing w:val="0"/>
          <w:w w:val="100"/>
          <w:kern w:val="2"/>
          <w:sz w:val="44"/>
          <w:szCs w:val="44"/>
          <w:lang w:val="en-US" w:eastAsia="zh-CN" w:bidi="ar-SA"/>
        </w:rPr>
      </w:pPr>
    </w:p>
    <w:p>
      <w:pPr>
        <w:widowControl w:val="0"/>
        <w:jc w:val="both"/>
        <w:rPr>
          <w:rFonts w:ascii="宋体" w:hAnsi="宋体" w:eastAsia="宋体" w:cs="宋体"/>
          <w:color w:val="000000"/>
          <w:spacing w:val="0"/>
          <w:w w:val="100"/>
          <w:kern w:val="2"/>
          <w:sz w:val="44"/>
          <w:szCs w:val="44"/>
          <w:lang w:val="en-US" w:eastAsia="zh-CN" w:bidi="ar-SA"/>
        </w:rPr>
      </w:pPr>
    </w:p>
    <w:p>
      <w:pPr>
        <w:widowControl w:val="0"/>
        <w:jc w:val="both"/>
        <w:rPr>
          <w:rFonts w:ascii="宋体" w:hAnsi="宋体" w:eastAsia="宋体" w:cs="宋体"/>
          <w:color w:val="000000"/>
          <w:spacing w:val="0"/>
          <w:w w:val="100"/>
          <w:kern w:val="2"/>
          <w:sz w:val="44"/>
          <w:szCs w:val="44"/>
          <w:lang w:val="en-US" w:eastAsia="zh-CN" w:bidi="ar-SA"/>
        </w:rPr>
      </w:pPr>
    </w:p>
    <w:p>
      <w:pPr>
        <w:jc w:val="center"/>
        <w:rPr>
          <w:rFonts w:eastAsia="宋体"/>
          <w:color w:val="000000"/>
          <w:spacing w:val="0"/>
          <w:w w:val="100"/>
          <w:sz w:val="44"/>
          <w:szCs w:val="44"/>
        </w:rPr>
      </w:pPr>
    </w:p>
    <w:p>
      <w:pPr>
        <w:widowControl w:val="0"/>
        <w:jc w:val="both"/>
        <w:rPr>
          <w:rFonts w:ascii="宋体" w:hAnsi="宋体" w:eastAsia="宋体" w:cs="宋体"/>
          <w:kern w:val="2"/>
          <w:sz w:val="18"/>
          <w:szCs w:val="18"/>
          <w:lang w:val="en-US" w:eastAsia="zh-CN" w:bidi="ar-SA"/>
        </w:rPr>
      </w:pPr>
    </w:p>
    <w:p>
      <w:pPr>
        <w:widowControl w:val="0"/>
        <w:jc w:val="both"/>
        <w:rPr>
          <w:rFonts w:ascii="宋体" w:hAnsi="宋体" w:eastAsia="宋体" w:cs="宋体"/>
          <w:kern w:val="2"/>
          <w:sz w:val="18"/>
          <w:szCs w:val="18"/>
          <w:lang w:val="en-US" w:eastAsia="zh-CN" w:bidi="ar-SA"/>
        </w:rPr>
      </w:pPr>
    </w:p>
    <w:p>
      <w:pPr>
        <w:jc w:val="both"/>
        <w:rPr>
          <w:rFonts w:hint="eastAsia" w:eastAsia="宋体"/>
          <w:color w:val="000000"/>
          <w:spacing w:val="0"/>
          <w:w w:val="100"/>
          <w:sz w:val="44"/>
          <w:szCs w:val="44"/>
        </w:rPr>
      </w:pPr>
    </w:p>
    <w:p>
      <w:pPr>
        <w:jc w:val="both"/>
        <w:rPr>
          <w:rFonts w:hint="eastAsia" w:eastAsia="宋体"/>
          <w:color w:val="000000"/>
          <w:spacing w:val="0"/>
          <w:w w:val="100"/>
          <w:sz w:val="44"/>
          <w:szCs w:val="44"/>
        </w:rPr>
      </w:pPr>
    </w:p>
    <w:p>
      <w:pPr>
        <w:widowControl w:val="0"/>
        <w:jc w:val="both"/>
        <w:rPr>
          <w:rFonts w:hint="eastAsia" w:ascii="宋体" w:hAnsi="宋体" w:eastAsia="宋体" w:cs="宋体"/>
          <w:spacing w:val="0"/>
          <w:w w:val="100"/>
          <w:kern w:val="2"/>
          <w:sz w:val="18"/>
          <w:szCs w:val="18"/>
          <w:lang w:val="en-US" w:eastAsia="zh-CN" w:bidi="ar-SA"/>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rFonts w:eastAsia="宋体"/>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default" w:ascii="Times New Roman" w:hAnsi="Times New Roman" w:eastAsia="黑体" w:cs="Times New Roman"/>
          <w:b/>
          <w:bCs/>
          <w:sz w:val="48"/>
          <w:szCs w:val="48"/>
          <w:lang w:val="en-US" w:eastAsia="zh-CN"/>
        </w:rPr>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pPr>
    </w:p>
    <w:p>
      <w:pPr>
        <w:adjustRightInd w:val="0"/>
        <w:snapToGrid w:val="0"/>
        <w:spacing w:line="360" w:lineRule="auto"/>
        <w:jc w:val="center"/>
        <w:rPr>
          <w:rFonts w:hint="default" w:ascii="黑体" w:hAnsi="黑体" w:eastAsia="黑体" w:cs="黑体"/>
          <w:b/>
          <w:bCs/>
          <w:sz w:val="32"/>
          <w:szCs w:val="32"/>
          <w:lang w:val="en-US" w:eastAsia="zh-CN"/>
        </w:rPr>
      </w:pPr>
      <w:r>
        <w:rPr>
          <w:rFonts w:hint="default" w:ascii="黑体" w:hAnsi="黑体" w:eastAsia="黑体" w:cs="黑体"/>
          <w:b/>
          <w:bCs/>
          <w:sz w:val="32"/>
          <w:szCs w:val="32"/>
          <w:lang w:val="en-US" w:eastAsia="zh-CN"/>
        </w:rPr>
        <w:t>家用燃气灶产品质量监督抽查实施细则（2024）</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Times New Roman" w:hAnsi="Times New Roman" w:eastAsia="仿宋" w:cs="Times New Roman"/>
          <w:b/>
          <w:bCs/>
          <w:sz w:val="32"/>
          <w:szCs w:val="32"/>
        </w:rPr>
      </w:pPr>
    </w:p>
    <w:p>
      <w:pPr>
        <w:snapToGrid w:val="0"/>
        <w:spacing w:beforeLines="0" w:afterLines="0" w:line="440" w:lineRule="exact"/>
        <w:rPr>
          <w:rFonts w:hint="default" w:ascii="黑体" w:hAnsi="黑体" w:eastAsia="黑体" w:cs="Times New Roman"/>
          <w:sz w:val="21"/>
          <w:szCs w:val="24"/>
          <w:lang w:val="en-US" w:eastAsia="zh-CN"/>
        </w:rPr>
      </w:pPr>
      <w:r>
        <w:rPr>
          <w:rFonts w:hint="default" w:ascii="黑体" w:hAnsi="黑体" w:eastAsia="黑体" w:cs="Times New Roman"/>
          <w:sz w:val="21"/>
          <w:szCs w:val="24"/>
          <w:lang w:val="en-US" w:eastAsia="zh-CN"/>
        </w:rPr>
        <w:t>1 抽样方法</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在企业的成品库内或市场随机抽取同一型号规格、同一批次、同一牌号的样品。</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随机数一般可使用随机数表、骰子或扑克等方法产生。</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在生产领域抽样时，抽样基数应不少于10台，在流通领域抽样时，抽样基数满足抽样数量即可。</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抽样数量为2台，其中1台作为检验样品，1台作为备用样品。</w:t>
      </w:r>
    </w:p>
    <w:p>
      <w:pPr>
        <w:snapToGrid w:val="0"/>
        <w:spacing w:beforeLines="0" w:afterLines="0" w:line="440" w:lineRule="exact"/>
        <w:rPr>
          <w:rFonts w:hint="default" w:ascii="黑体" w:hAnsi="黑体" w:eastAsia="黑体" w:cs="Times New Roman"/>
          <w:sz w:val="21"/>
          <w:szCs w:val="24"/>
          <w:lang w:val="en-US" w:eastAsia="zh-CN"/>
        </w:rPr>
      </w:pPr>
      <w:r>
        <w:rPr>
          <w:rFonts w:hint="default" w:ascii="黑体" w:hAnsi="黑体" w:eastAsia="黑体" w:cs="Times New Roman"/>
          <w:sz w:val="21"/>
          <w:szCs w:val="24"/>
          <w:lang w:val="en-US" w:eastAsia="zh-CN"/>
        </w:rPr>
        <w:t>2 检验依据</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1108"/>
        <w:gridCol w:w="2238"/>
        <w:gridCol w:w="2357"/>
        <w:gridCol w:w="1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tblHeader/>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序号</w:t>
            </w:r>
          </w:p>
        </w:tc>
        <w:tc>
          <w:tcPr>
            <w:tcW w:w="1963" w:type="pct"/>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检验项目</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依据标准</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1</w:t>
            </w:r>
          </w:p>
        </w:tc>
        <w:tc>
          <w:tcPr>
            <w:tcW w:w="1963" w:type="pct"/>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气密性</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GB 16410—2020</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2</w:t>
            </w:r>
          </w:p>
        </w:tc>
        <w:tc>
          <w:tcPr>
            <w:tcW w:w="650" w:type="pct"/>
            <w:vMerge w:val="restar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燃烧</w:t>
            </w:r>
          </w:p>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工况</w:t>
            </w:r>
          </w:p>
        </w:tc>
        <w:tc>
          <w:tcPr>
            <w:tcW w:w="131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离焰</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GB 16410—2020</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3</w:t>
            </w:r>
          </w:p>
        </w:tc>
        <w:tc>
          <w:tcPr>
            <w:tcW w:w="650"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p>
        </w:tc>
        <w:tc>
          <w:tcPr>
            <w:tcW w:w="131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熄火</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4</w:t>
            </w:r>
          </w:p>
        </w:tc>
        <w:tc>
          <w:tcPr>
            <w:tcW w:w="650"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p>
        </w:tc>
        <w:tc>
          <w:tcPr>
            <w:tcW w:w="131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回火</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GB 16410—2020</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5</w:t>
            </w:r>
          </w:p>
        </w:tc>
        <w:tc>
          <w:tcPr>
            <w:tcW w:w="650"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p>
        </w:tc>
        <w:tc>
          <w:tcPr>
            <w:tcW w:w="131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干烟气中一氧化碳浓度（室内型）</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GB 16410—2020</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6</w:t>
            </w:r>
          </w:p>
        </w:tc>
        <w:tc>
          <w:tcPr>
            <w:tcW w:w="1963" w:type="pct"/>
            <w:gridSpan w:val="2"/>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温升</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GB 16410—2020</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7</w:t>
            </w:r>
          </w:p>
        </w:tc>
        <w:tc>
          <w:tcPr>
            <w:tcW w:w="1963" w:type="pct"/>
            <w:gridSpan w:val="2"/>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熄火保护装置</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8</w:t>
            </w:r>
          </w:p>
        </w:tc>
        <w:tc>
          <w:tcPr>
            <w:tcW w:w="1963" w:type="pct"/>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热负荷</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9</w:t>
            </w:r>
          </w:p>
        </w:tc>
        <w:tc>
          <w:tcPr>
            <w:tcW w:w="1963" w:type="pct"/>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耐热冲击</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10</w:t>
            </w:r>
          </w:p>
        </w:tc>
        <w:tc>
          <w:tcPr>
            <w:tcW w:w="1963" w:type="pct"/>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耐重力冲击</w:t>
            </w:r>
          </w:p>
        </w:tc>
        <w:tc>
          <w:tcPr>
            <w:tcW w:w="138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c>
          <w:tcPr>
            <w:tcW w:w="11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 xml:space="preserve">GB 16410—2020 </w:t>
            </w:r>
          </w:p>
        </w:tc>
      </w:tr>
    </w:tbl>
    <w:p>
      <w:pPr>
        <w:adjustRightInd w:val="0"/>
        <w:snapToGrid w:val="0"/>
        <w:spacing w:beforeLines="0" w:afterLines="0" w:line="440" w:lineRule="exact"/>
        <w:ind w:firstLine="420" w:firstLineChars="200"/>
        <w:jc w:val="center"/>
        <w:rPr>
          <w:rFonts w:hint="default" w:ascii="宋体" w:hAnsi="宋体" w:eastAsia="宋体" w:cs="Times New Roman"/>
          <w:sz w:val="21"/>
          <w:szCs w:val="24"/>
          <w:lang w:val="en-US" w:eastAsia="zh-CN"/>
        </w:rPr>
      </w:pPr>
      <w:r>
        <w:rPr>
          <w:rFonts w:hint="default" w:ascii="宋体" w:hAnsi="宋体" w:eastAsia="宋体" w:cs="Times New Roman"/>
          <w:sz w:val="21"/>
          <w:szCs w:val="24"/>
          <w:lang w:val="en-US" w:eastAsia="zh-CN"/>
        </w:rPr>
        <w:t>表1 家用燃气灶产品检验项目、依据、方法</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执行企业标准、团体标准、地方标准的产品，检验项目参照上述内容执行。</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凡是注日期的文件，其随后所有的修改单（不包括勘误的内容）或修订版不适用于本细则。凡是不注日期的文件，其最新版本适用于本细则。</w:t>
      </w:r>
    </w:p>
    <w:p>
      <w:pPr>
        <w:snapToGrid w:val="0"/>
        <w:spacing w:beforeLines="0" w:afterLines="0" w:line="440" w:lineRule="exact"/>
        <w:rPr>
          <w:rFonts w:hint="default" w:ascii="黑体" w:hAnsi="黑体" w:eastAsia="黑体" w:cs="Times New Roman"/>
          <w:sz w:val="21"/>
          <w:szCs w:val="24"/>
          <w:lang w:val="en-US" w:eastAsia="zh-CN"/>
        </w:rPr>
      </w:pPr>
      <w:r>
        <w:rPr>
          <w:rFonts w:hint="default" w:ascii="黑体" w:hAnsi="黑体" w:eastAsia="黑体" w:cs="Times New Roman"/>
          <w:sz w:val="21"/>
          <w:szCs w:val="24"/>
          <w:lang w:val="en-US" w:eastAsia="zh-CN"/>
        </w:rPr>
        <w:t>3 判定规则</w:t>
      </w:r>
    </w:p>
    <w:p>
      <w:pPr>
        <w:snapToGrid w:val="0"/>
        <w:spacing w:beforeLines="0" w:afterLines="0" w:line="440" w:lineRule="exact"/>
        <w:rPr>
          <w:rFonts w:hint="default" w:ascii="宋体" w:hAnsi="宋体" w:eastAsia="宋体" w:cs="Times New Roman"/>
          <w:color w:val="000000"/>
          <w:sz w:val="21"/>
          <w:szCs w:val="24"/>
          <w:lang w:val="en-US" w:eastAsia="zh-CN"/>
        </w:rPr>
      </w:pPr>
      <w:r>
        <w:rPr>
          <w:rFonts w:hint="default" w:ascii="宋体" w:hAnsi="宋体" w:eastAsia="宋体" w:cs="Times New Roman"/>
          <w:color w:val="000000"/>
          <w:sz w:val="21"/>
          <w:szCs w:val="24"/>
          <w:lang w:val="en-US" w:eastAsia="zh-CN"/>
        </w:rPr>
        <w:t xml:space="preserve">3.1依据标准 </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GB 16410-2020 家用燃气灶具</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现行有效的企业标准、团体标准、地方标准及产品明示质量要求</w:t>
      </w:r>
    </w:p>
    <w:p>
      <w:pPr>
        <w:snapToGrid w:val="0"/>
        <w:spacing w:beforeLines="0" w:afterLines="0" w:line="440" w:lineRule="exact"/>
        <w:rPr>
          <w:rFonts w:hint="default" w:ascii="宋体" w:hAnsi="宋体" w:eastAsia="宋体" w:cs="Times New Roman"/>
          <w:color w:val="000000"/>
          <w:sz w:val="21"/>
          <w:szCs w:val="24"/>
          <w:lang w:val="en-US" w:eastAsia="zh-CN"/>
        </w:rPr>
      </w:pPr>
      <w:bookmarkStart w:id="0" w:name="_GoBack"/>
      <w:r>
        <w:rPr>
          <w:rFonts w:hint="default" w:ascii="宋体" w:hAnsi="宋体" w:eastAsia="宋体" w:cs="Times New Roman"/>
          <w:color w:val="000000"/>
          <w:sz w:val="21"/>
          <w:szCs w:val="24"/>
          <w:lang w:val="en-US" w:eastAsia="zh-CN"/>
        </w:rPr>
        <w:t>3.2判定原则</w:t>
      </w:r>
    </w:p>
    <w:bookmarkEnd w:id="0"/>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经检验，检验项目全部合格，判定为被抽查产品所检项目未发现不合格；检验项目中任一项或一项以上不合格，判定为被抽查产品不合格。</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若被检产品明示的质量要求高于本细则中检验项目依据的标准要求时，应按被检产品明示的质量要求判定。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若被检产品明示的质量要求低于本细则中检验项目依据的强制性标准要求时，应按照强制性标准要求判定。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若被检产品明示的质量要求低于或包含本细则中检验项目依据的推荐性标准要求时，应以被检产品明示的质量要求判定。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若被检产品明示的质量要求缺少本细则中检验项目依据的强制性标准要求时，应按照强制性标准要求判定。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Times New Roman" w:hAnsi="Times New Roman" w:eastAsia="仿宋" w:cs="Times New Roman"/>
          <w:b w:val="0"/>
          <w:bCs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12"/>
                            </w:rPr>
                          </w:pPr>
                          <w:r>
                            <w:fldChar w:fldCharType="begin"/>
                          </w:r>
                          <w:r>
                            <w:rPr>
                              <w:rStyle w:val="12"/>
                            </w:rPr>
                            <w:instrText xml:space="preserve">PAGE  </w:instrText>
                          </w:r>
                          <w:r>
                            <w:fldChar w:fldCharType="separate"/>
                          </w:r>
                          <w:r>
                            <w:rPr>
                              <w:rStyle w:val="12"/>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7"/>
                      <w:rPr>
                        <w:rStyle w:val="12"/>
                      </w:rPr>
                    </w:pPr>
                    <w:r>
                      <w:fldChar w:fldCharType="begin"/>
                    </w:r>
                    <w:r>
                      <w:rPr>
                        <w:rStyle w:val="12"/>
                      </w:rPr>
                      <w:instrText xml:space="preserve">PAGE  </w:instrText>
                    </w:r>
                    <w:r>
                      <w:fldChar w:fldCharType="separate"/>
                    </w:r>
                    <w:r>
                      <w:rPr>
                        <w:rStyle w:val="12"/>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hYTExOTI3ZGJhYmUxZWY5OTFjNzM4MDYyZGIyZDUifQ=="/>
    <w:docVar w:name="KSO_WPS_MARK_KEY" w:val="90fd2cc8-f6e4-4784-bb9e-1c30c2452c22"/>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728C0"/>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4D21CE6"/>
    <w:rsid w:val="0F2C08D3"/>
    <w:rsid w:val="0F664961"/>
    <w:rsid w:val="10EA364A"/>
    <w:rsid w:val="175C49A5"/>
    <w:rsid w:val="18556426"/>
    <w:rsid w:val="185D049A"/>
    <w:rsid w:val="1BB43086"/>
    <w:rsid w:val="211060AC"/>
    <w:rsid w:val="23840ECE"/>
    <w:rsid w:val="29407A68"/>
    <w:rsid w:val="31040918"/>
    <w:rsid w:val="33EC4DB1"/>
    <w:rsid w:val="34BA3909"/>
    <w:rsid w:val="3C9A770A"/>
    <w:rsid w:val="3E055EE3"/>
    <w:rsid w:val="3F5E0F5E"/>
    <w:rsid w:val="406F5E49"/>
    <w:rsid w:val="47440F1A"/>
    <w:rsid w:val="4BAC7707"/>
    <w:rsid w:val="4E141FA3"/>
    <w:rsid w:val="4EA07A25"/>
    <w:rsid w:val="4EE0148D"/>
    <w:rsid w:val="51F24C5E"/>
    <w:rsid w:val="533C5297"/>
    <w:rsid w:val="53A22EF9"/>
    <w:rsid w:val="579C1D99"/>
    <w:rsid w:val="6E1F3ADC"/>
    <w:rsid w:val="72192610"/>
    <w:rsid w:val="79BE50AB"/>
    <w:rsid w:val="7CE51726"/>
    <w:rsid w:val="7E5C334E"/>
    <w:rsid w:val="7F0D4EE3"/>
    <w:rsid w:val="7F77FBF0"/>
    <w:rsid w:val="7F8049D0"/>
    <w:rsid w:val="7F8C48B8"/>
    <w:rsid w:val="FBFF4D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3"/>
    <w:unhideWhenUsed/>
    <w:qFormat/>
    <w:uiPriority w:val="99"/>
    <w:pPr>
      <w:jc w:val="left"/>
    </w:pPr>
  </w:style>
  <w:style w:type="paragraph" w:styleId="4">
    <w:name w:val="Plain Text"/>
    <w:basedOn w:val="1"/>
    <w:unhideWhenUsed/>
    <w:qFormat/>
    <w:uiPriority w:val="99"/>
    <w:rPr>
      <w:rFonts w:ascii="宋体" w:hAnsi="Courier New"/>
      <w:kern w:val="0"/>
      <w:sz w:val="20"/>
      <w:szCs w:val="20"/>
    </w:rPr>
  </w:style>
  <w:style w:type="paragraph" w:styleId="5">
    <w:name w:val="Date"/>
    <w:basedOn w:val="1"/>
    <w:next w:val="1"/>
    <w:link w:val="21"/>
    <w:qFormat/>
    <w:uiPriority w:val="0"/>
    <w:rPr>
      <w:rFonts w:ascii="幼圆" w:eastAsia="幼圆"/>
      <w:sz w:val="24"/>
      <w:szCs w:val="20"/>
    </w:rPr>
  </w:style>
  <w:style w:type="paragraph" w:styleId="6">
    <w:name w:val="Balloon Text"/>
    <w:basedOn w:val="1"/>
    <w:link w:val="26"/>
    <w:unhideWhenUsed/>
    <w:qFormat/>
    <w:uiPriority w:val="99"/>
    <w:rPr>
      <w:sz w:val="18"/>
      <w:szCs w:val="18"/>
    </w:rPr>
  </w:style>
  <w:style w:type="paragraph" w:styleId="7">
    <w:name w:val="footer"/>
    <w:basedOn w:val="1"/>
    <w:link w:val="15"/>
    <w:unhideWhenUsed/>
    <w:qFormat/>
    <w:uiPriority w:val="0"/>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批注文字 字符"/>
    <w:basedOn w:val="11"/>
    <w:link w:val="3"/>
    <w:qFormat/>
    <w:uiPriority w:val="99"/>
    <w:rPr>
      <w:kern w:val="2"/>
      <w:sz w:val="21"/>
      <w:szCs w:val="22"/>
    </w:rPr>
  </w:style>
  <w:style w:type="character" w:customStyle="1" w:styleId="14">
    <w:name w:val="页眉 字符1"/>
    <w:link w:val="8"/>
    <w:qFormat/>
    <w:uiPriority w:val="99"/>
    <w:rPr>
      <w:kern w:val="2"/>
      <w:sz w:val="18"/>
      <w:szCs w:val="18"/>
    </w:rPr>
  </w:style>
  <w:style w:type="character" w:customStyle="1" w:styleId="15">
    <w:name w:val="页脚 字符1"/>
    <w:link w:val="7"/>
    <w:qFormat/>
    <w:uiPriority w:val="99"/>
    <w:rPr>
      <w:kern w:val="2"/>
      <w:sz w:val="18"/>
      <w:szCs w:val="18"/>
    </w:rPr>
  </w:style>
  <w:style w:type="paragraph" w:customStyle="1" w:styleId="16">
    <w:name w:val="列出段落1"/>
    <w:basedOn w:val="1"/>
    <w:qFormat/>
    <w:uiPriority w:val="34"/>
    <w:pPr>
      <w:ind w:firstLine="420" w:firstLineChars="200"/>
    </w:pPr>
  </w:style>
  <w:style w:type="character" w:customStyle="1" w:styleId="17">
    <w:name w:val="页眉 字符"/>
    <w:qFormat/>
    <w:uiPriority w:val="99"/>
    <w:rPr>
      <w:sz w:val="18"/>
      <w:szCs w:val="18"/>
    </w:rPr>
  </w:style>
  <w:style w:type="character" w:customStyle="1" w:styleId="18">
    <w:name w:val="页脚 字符"/>
    <w:qFormat/>
    <w:uiPriority w:val="99"/>
    <w:rPr>
      <w:sz w:val="18"/>
      <w:szCs w:val="18"/>
    </w:rPr>
  </w:style>
  <w:style w:type="paragraph" w:customStyle="1" w:styleId="19">
    <w:name w:val="列出段落2"/>
    <w:basedOn w:val="1"/>
    <w:qFormat/>
    <w:uiPriority w:val="34"/>
    <w:pPr>
      <w:ind w:firstLine="420" w:firstLineChars="200"/>
    </w:pPr>
  </w:style>
  <w:style w:type="character" w:customStyle="1" w:styleId="20">
    <w:name w:val="apple-converted-space"/>
    <w:basedOn w:val="11"/>
    <w:qFormat/>
    <w:uiPriority w:val="0"/>
  </w:style>
  <w:style w:type="character" w:customStyle="1" w:styleId="21">
    <w:name w:val="日期 字符"/>
    <w:basedOn w:val="11"/>
    <w:link w:val="5"/>
    <w:qFormat/>
    <w:uiPriority w:val="0"/>
    <w:rPr>
      <w:rFonts w:ascii="幼圆" w:hAnsi="Times New Roman" w:eastAsia="幼圆"/>
      <w:kern w:val="2"/>
      <w:sz w:val="24"/>
    </w:rPr>
  </w:style>
  <w:style w:type="paragraph" w:customStyle="1" w:styleId="22">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3">
    <w:name w:val="肥料正文 Char Char"/>
    <w:basedOn w:val="11"/>
    <w:link w:val="24"/>
    <w:qFormat/>
    <w:uiPriority w:val="0"/>
    <w:rPr>
      <w:rFonts w:eastAsia="汉鼎简书宋二"/>
      <w:snapToGrid w:val="0"/>
      <w:spacing w:val="2"/>
      <w:sz w:val="22"/>
      <w:szCs w:val="24"/>
    </w:rPr>
  </w:style>
  <w:style w:type="paragraph" w:customStyle="1" w:styleId="24">
    <w:name w:val="肥料正文"/>
    <w:basedOn w:val="1"/>
    <w:link w:val="23"/>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5">
    <w:name w:val="列表段落1"/>
    <w:basedOn w:val="1"/>
    <w:qFormat/>
    <w:uiPriority w:val="99"/>
    <w:pPr>
      <w:ind w:firstLine="420" w:firstLineChars="200"/>
    </w:pPr>
  </w:style>
  <w:style w:type="character" w:customStyle="1" w:styleId="26">
    <w:name w:val="批注框文本 字符"/>
    <w:basedOn w:val="11"/>
    <w:link w:val="6"/>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779</Words>
  <Characters>958</Characters>
  <Lines>32</Lines>
  <Paragraphs>9</Paragraphs>
  <TotalTime>1</TotalTime>
  <ScaleCrop>false</ScaleCrop>
  <LinksUpToDate>false</LinksUpToDate>
  <CharactersWithSpaces>1001</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2024-08-30T15:28:13Z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241E2D8A6DE540F581252F7C071FCDFB</vt:lpwstr>
  </property>
</Properties>
</file>