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0"/>
          <w:w w:val="100"/>
          <w:sz w:val="44"/>
          <w:szCs w:val="44"/>
        </w:rPr>
      </w:pPr>
      <w:r>
        <w:rPr>
          <w:rFonts w:hint="eastAsia" w:ascii="黑体" w:hAnsi="宋体" w:eastAsia="黑体"/>
          <w:color w:val="000000"/>
          <w:spacing w:val="0"/>
          <w:w w:val="100"/>
          <w:sz w:val="52"/>
          <w:szCs w:val="52"/>
          <w:lang w:eastAsia="zh-CN"/>
        </w:rPr>
        <w:t>赣州</w:t>
      </w:r>
      <w:r>
        <w:rPr>
          <w:rFonts w:hint="eastAsia" w:ascii="黑体" w:hAnsi="宋体" w:eastAsia="黑体"/>
          <w:color w:val="000000"/>
          <w:spacing w:val="0"/>
          <w:w w:val="100"/>
          <w:sz w:val="52"/>
          <w:szCs w:val="52"/>
        </w:rPr>
        <w:t>市产品质量监督抽查实施细则</w:t>
      </w:r>
    </w:p>
    <w:p>
      <w:pPr>
        <w:wordWrap w:val="0"/>
        <w:spacing w:before="240"/>
        <w:ind w:right="420"/>
        <w:jc w:val="right"/>
        <w:rPr>
          <w:rFonts w:hint="eastAsia" w:ascii="黑体" w:hAnsi="宋体" w:eastAsia="黑体"/>
          <w:color w:val="000000"/>
          <w:spacing w:val="0"/>
          <w:w w:val="100"/>
          <w:sz w:val="28"/>
          <w:szCs w:val="28"/>
          <w:lang w:val="en-US" w:eastAsia="zh-CN"/>
        </w:rPr>
      </w:pPr>
      <w:r>
        <w:rPr>
          <w:rFonts w:hint="eastAsia" w:ascii="黑体" w:hAnsi="宋体" w:eastAsia="黑体"/>
          <w:color w:val="000000"/>
          <w:sz w:val="28"/>
          <w:szCs w:val="28"/>
        </w:rPr>
        <w:t xml:space="preserve">GZCCXZ </w:t>
      </w:r>
      <w:r>
        <w:rPr>
          <w:rFonts w:hint="eastAsia" w:ascii="黑体" w:hAnsi="宋体" w:eastAsia="黑体"/>
          <w:color w:val="000000"/>
          <w:sz w:val="28"/>
          <w:szCs w:val="28"/>
          <w:lang w:val="en-US" w:eastAsia="zh-CN"/>
        </w:rPr>
        <w:t>24</w:t>
      </w:r>
      <w:r>
        <w:rPr>
          <w:rFonts w:hint="eastAsia" w:ascii="黑体" w:hAnsi="宋体" w:eastAsia="黑体"/>
          <w:color w:val="000000"/>
          <w:sz w:val="28"/>
          <w:szCs w:val="28"/>
        </w:rPr>
        <w:t>-2024</w:t>
      </w:r>
      <w:r>
        <w:rPr>
          <w:rFonts w:ascii="宋体" w:hAnsi="宋体"/>
          <w:color w:val="000000"/>
          <w:spacing w:val="0"/>
          <w:w w:val="100"/>
          <w:szCs w:val="21"/>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9.7pt;margin-top:39.5pt;height:0.05pt;width:414pt;z-index:251660288;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G0zibNcAAAAJAQAADwAAAAAAAAABACAAAAA4AAAAZHJzL2Rvd25yZXYueG1sUEsB&#10;AhQAFAAAAAgAh07iQGj+QfTgAQAAqQMAAA4AAAAAAAAAAQAgAAAAPAEAAGRycy9lMm9Eb2MueG1s&#10;UEsFBgAAAAAGAAYAWQEAAI4FAAAAAA==&#10;">
                <v:fill on="f" focussize="0,0"/>
                <v:stroke color="#000000" joinstyle="round"/>
                <v:imagedata o:title=""/>
                <o:lock v:ext="edit" aspectratio="f"/>
              </v:line>
            </w:pict>
          </mc:Fallback>
        </mc:AlternateContent>
      </w:r>
    </w:p>
    <w:p>
      <w:pPr>
        <w:jc w:val="center"/>
        <w:rPr>
          <w:rFonts w:ascii="宋体" w:hAnsi="宋体"/>
          <w:color w:val="000000"/>
          <w:spacing w:val="0"/>
          <w:w w:val="100"/>
          <w:sz w:val="44"/>
          <w:szCs w:val="44"/>
          <w:highlight w:val="yellow"/>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pStyle w:val="2"/>
        <w:rPr>
          <w:rFonts w:hint="eastAsia"/>
          <w:spacing w:val="0"/>
          <w:w w:val="100"/>
        </w:rPr>
      </w:pPr>
    </w:p>
    <w:p>
      <w:pPr>
        <w:jc w:val="center"/>
        <w:rPr>
          <w:rFonts w:hint="eastAsia"/>
          <w:color w:val="000000"/>
          <w:spacing w:val="0"/>
          <w:w w:val="100"/>
          <w:sz w:val="44"/>
          <w:szCs w:val="44"/>
        </w:rPr>
      </w:pPr>
    </w:p>
    <w:p>
      <w:pPr>
        <w:jc w:val="center"/>
        <w:rPr>
          <w:rFonts w:hint="eastAsia"/>
          <w:color w:val="000000"/>
          <w:spacing w:val="0"/>
          <w:w w:val="100"/>
          <w:sz w:val="44"/>
          <w:szCs w:val="44"/>
        </w:rPr>
      </w:pPr>
    </w:p>
    <w:p>
      <w:pPr>
        <w:jc w:val="center"/>
        <w:rPr>
          <w:rFonts w:hint="eastAsia" w:ascii="黑体" w:hAnsi="宋体" w:eastAsia="黑体"/>
          <w:color w:val="000000"/>
          <w:spacing w:val="0"/>
          <w:w w:val="100"/>
          <w:sz w:val="52"/>
          <w:szCs w:val="52"/>
          <w:lang w:eastAsia="zh-CN"/>
        </w:rPr>
      </w:pPr>
    </w:p>
    <w:p>
      <w:pPr>
        <w:jc w:val="center"/>
        <w:rPr>
          <w:rFonts w:hint="default" w:eastAsia="宋体"/>
          <w:color w:val="000000"/>
          <w:spacing w:val="0"/>
          <w:w w:val="100"/>
          <w:sz w:val="44"/>
          <w:szCs w:val="44"/>
          <w:lang w:val="en-US" w:eastAsia="zh-CN"/>
        </w:rPr>
      </w:pPr>
      <w:r>
        <w:rPr>
          <w:rFonts w:hint="eastAsia" w:ascii="黑体" w:hAnsi="黑体" w:eastAsia="黑体" w:cs="黑体"/>
          <w:color w:val="000000"/>
          <w:spacing w:val="0"/>
          <w:w w:val="100"/>
          <w:sz w:val="52"/>
          <w:szCs w:val="52"/>
          <w:lang w:val="en-US" w:eastAsia="zh-CN"/>
        </w:rPr>
        <w:t>手提式灭火器</w:t>
      </w:r>
    </w:p>
    <w:p>
      <w:pPr>
        <w:pStyle w:val="2"/>
        <w:rPr>
          <w:color w:val="000000"/>
          <w:spacing w:val="0"/>
          <w:w w:val="100"/>
          <w:sz w:val="44"/>
          <w:szCs w:val="44"/>
        </w:rPr>
      </w:pPr>
    </w:p>
    <w:p>
      <w:pPr>
        <w:pStyle w:val="2"/>
        <w:rPr>
          <w:color w:val="000000"/>
          <w:spacing w:val="0"/>
          <w:w w:val="100"/>
          <w:sz w:val="44"/>
          <w:szCs w:val="44"/>
        </w:rPr>
      </w:pPr>
    </w:p>
    <w:p>
      <w:pPr>
        <w:pStyle w:val="2"/>
        <w:rPr>
          <w:color w:val="000000"/>
          <w:spacing w:val="0"/>
          <w:w w:val="100"/>
          <w:sz w:val="44"/>
          <w:szCs w:val="44"/>
        </w:rPr>
      </w:pPr>
    </w:p>
    <w:p>
      <w:pPr>
        <w:jc w:val="center"/>
        <w:rPr>
          <w:color w:val="000000"/>
          <w:spacing w:val="0"/>
          <w:w w:val="100"/>
          <w:sz w:val="44"/>
          <w:szCs w:val="44"/>
        </w:rPr>
      </w:pPr>
    </w:p>
    <w:p>
      <w:pPr>
        <w:pStyle w:val="2"/>
      </w:pPr>
    </w:p>
    <w:p>
      <w:pPr>
        <w:pStyle w:val="2"/>
      </w:pPr>
    </w:p>
    <w:p>
      <w:pPr>
        <w:jc w:val="both"/>
        <w:rPr>
          <w:rFonts w:hint="eastAsia"/>
          <w:color w:val="000000"/>
          <w:spacing w:val="0"/>
          <w:w w:val="100"/>
          <w:sz w:val="44"/>
          <w:szCs w:val="44"/>
        </w:rPr>
      </w:pPr>
    </w:p>
    <w:p>
      <w:pPr>
        <w:jc w:val="both"/>
        <w:rPr>
          <w:rFonts w:hint="eastAsia"/>
          <w:color w:val="000000"/>
          <w:spacing w:val="0"/>
          <w:w w:val="100"/>
          <w:sz w:val="44"/>
          <w:szCs w:val="44"/>
        </w:rPr>
      </w:pPr>
    </w:p>
    <w:p>
      <w:pPr>
        <w:pStyle w:val="2"/>
        <w:rPr>
          <w:rFonts w:hint="eastAsia"/>
          <w:spacing w:val="0"/>
          <w:w w:val="100"/>
        </w:rPr>
      </w:pPr>
    </w:p>
    <w:p>
      <w:pPr>
        <w:ind w:firstLine="140" w:firstLineChars="50"/>
        <w:rPr>
          <w:rFonts w:hint="eastAsia" w:ascii="黑体" w:hAnsi="宋体" w:eastAsia="黑体"/>
          <w:color w:val="000000"/>
          <w:spacing w:val="0"/>
          <w:w w:val="1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pacing w:val="0"/>
          <w:w w:val="100"/>
          <w:sz w:val="28"/>
        </w:rPr>
        <mc:AlternateContent>
          <mc:Choice Requires="wps">
            <w:drawing>
              <wp:anchor distT="0" distB="0" distL="114300" distR="114300" simplePos="0" relativeHeight="251661312"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flip:y;margin-left:10.4pt;margin-top:29.05pt;height:0.75pt;width:414.15pt;z-index:251661312;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hLENT1gAAAAgBAAAPAAAAAAAAAAEAIAAAADgAAABkcnMvZG93bnJldi54&#10;bWxQSwECFAAUAAAACACHTuJAxt9K9OYBAAC3AwAADgAAAAAAAAABACAAAAA7AQAAZHJzL2Uyb0Rv&#10;Yy54bWxQSwUGAAAAAAYABgBZAQAAkwUAAAAA&#10;">
                <v:fill on="f" focussize="0,0"/>
                <v:stroke color="#000000" joinstyle="round"/>
                <v:imagedata o:title=""/>
                <o:lock v:ext="edit" aspectratio="f"/>
              </v:line>
            </w:pict>
          </mc:Fallback>
        </mc:AlternateContent>
      </w:r>
    </w:p>
    <w:p>
      <w:pPr>
        <w:ind w:firstLine="140" w:firstLineChars="50"/>
        <w:rPr>
          <w:rFonts w:hint="eastAsia" w:ascii="黑体" w:hAnsi="宋体" w:eastAsia="黑体"/>
          <w:color w:val="000000"/>
          <w:spacing w:val="0"/>
          <w:w w:val="100"/>
          <w:sz w:val="28"/>
          <w:szCs w:val="28"/>
        </w:rPr>
      </w:pPr>
      <w:r>
        <w:rPr>
          <w:rFonts w:hint="eastAsia" w:ascii="黑体" w:hAnsi="宋体" w:eastAsia="黑体"/>
          <w:color w:val="000000"/>
          <w:spacing w:val="0"/>
          <w:w w:val="100"/>
          <w:sz w:val="28"/>
          <w:szCs w:val="28"/>
        </w:rPr>
        <w:t xml:space="preserve">           </w:t>
      </w:r>
    </w:p>
    <w:p>
      <w:pPr>
        <w:jc w:val="center"/>
        <w:rPr>
          <w:rFonts w:hint="eastAsia" w:ascii="黑体" w:hAnsi="黑体" w:eastAsia="黑体" w:cs="黑体"/>
          <w:color w:val="000000"/>
          <w:spacing w:val="0"/>
          <w:w w:val="100"/>
          <w:sz w:val="52"/>
          <w:szCs w:val="52"/>
          <w:lang w:val="en-US" w:eastAsia="zh-CN"/>
        </w:rPr>
      </w:pPr>
      <w:r>
        <w:rPr>
          <w:rFonts w:hint="eastAsia" w:ascii="黑体" w:hAnsi="黑体" w:eastAsia="黑体" w:cs="黑体"/>
          <w:color w:val="000000"/>
          <w:spacing w:val="0"/>
          <w:w w:val="100"/>
          <w:sz w:val="52"/>
          <w:szCs w:val="52"/>
          <w:lang w:val="en-US" w:eastAsia="zh-CN"/>
        </w:rPr>
        <w:t>赣州市市场监督管理局</w:t>
      </w:r>
    </w:p>
    <w:p>
      <w:pPr>
        <w:adjustRightInd w:val="0"/>
        <w:snapToGrid w:val="0"/>
        <w:spacing w:line="360" w:lineRule="auto"/>
        <w:jc w:val="center"/>
        <w:rPr>
          <w:rFonts w:hint="eastAsia" w:ascii="方正小标宋_GBK" w:hAnsi="方正小标宋_GBK" w:eastAsia="黑体" w:cs="方正小标宋_GBK"/>
          <w:sz w:val="32"/>
          <w:szCs w:val="32"/>
          <w:lang w:eastAsia="zh-CN"/>
        </w:rPr>
      </w:pPr>
      <w:r>
        <w:rPr>
          <w:rFonts w:hint="eastAsia" w:ascii="黑体" w:hAnsi="黑体" w:eastAsia="黑体" w:cs="黑体"/>
          <w:b/>
          <w:bCs/>
          <w:sz w:val="32"/>
          <w:szCs w:val="32"/>
          <w:lang w:val="en-US" w:eastAsia="zh-CN"/>
        </w:rPr>
        <w:t>手提式灭火器</w:t>
      </w:r>
      <w:r>
        <w:rPr>
          <w:rFonts w:hint="eastAsia" w:ascii="黑体" w:hAnsi="黑体" w:eastAsia="黑体" w:cs="黑体"/>
          <w:b/>
          <w:bCs/>
          <w:sz w:val="32"/>
          <w:szCs w:val="32"/>
        </w:rPr>
        <w:t>产品质量监督抽查实施细则</w:t>
      </w:r>
      <w:r>
        <w:rPr>
          <w:rFonts w:hint="eastAsia" w:ascii="黑体" w:hAnsi="黑体" w:eastAsia="黑体" w:cs="黑体"/>
          <w:b/>
          <w:bCs/>
          <w:sz w:val="32"/>
          <w:szCs w:val="32"/>
          <w:lang w:eastAsia="zh-CN"/>
        </w:rPr>
        <w:t>（</w:t>
      </w:r>
      <w:r>
        <w:rPr>
          <w:rFonts w:hint="eastAsia" w:ascii="黑体" w:hAnsi="黑体" w:eastAsia="黑体" w:cs="黑体"/>
          <w:b/>
          <w:bCs/>
          <w:sz w:val="32"/>
          <w:szCs w:val="32"/>
          <w:lang w:val="en-US" w:eastAsia="zh-CN"/>
        </w:rPr>
        <w:t>2024</w:t>
      </w:r>
      <w:r>
        <w:rPr>
          <w:rFonts w:hint="eastAsia" w:ascii="黑体" w:hAnsi="黑体" w:eastAsia="黑体" w:cs="黑体"/>
          <w:b/>
          <w:bCs/>
          <w:sz w:val="32"/>
          <w:szCs w:val="32"/>
          <w:lang w:eastAsia="zh-CN"/>
        </w:rPr>
        <w:t>）</w:t>
      </w:r>
    </w:p>
    <w:p>
      <w:pPr>
        <w:adjustRightInd w:val="0"/>
        <w:snapToGrid w:val="0"/>
        <w:spacing w:line="360" w:lineRule="auto"/>
        <w:ind w:firstLine="481" w:firstLineChars="200"/>
        <w:rPr>
          <w:rFonts w:hint="eastAsia" w:ascii="宋体" w:hAnsi="宋体"/>
          <w:b/>
          <w:bCs/>
          <w:sz w:val="24"/>
        </w:rPr>
      </w:pPr>
    </w:p>
    <w:p>
      <w:pPr>
        <w:adjustRightInd w:val="0"/>
        <w:snapToGrid w:val="0"/>
        <w:spacing w:line="360" w:lineRule="auto"/>
        <w:rPr>
          <w:rFonts w:hint="eastAsia" w:ascii="黑体" w:hAnsi="黑体" w:eastAsia="黑体" w:cs="黑体"/>
          <w:b/>
          <w:bCs/>
          <w:sz w:val="21"/>
          <w:szCs w:val="21"/>
        </w:rPr>
      </w:pPr>
      <w:r>
        <w:rPr>
          <w:rFonts w:hint="eastAsia" w:ascii="黑体" w:hAnsi="黑体" w:eastAsia="黑体" w:cs="黑体"/>
          <w:b/>
          <w:bCs/>
          <w:sz w:val="21"/>
          <w:szCs w:val="21"/>
        </w:rPr>
        <w:t>1.范围</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本细则适用</w:t>
      </w:r>
      <w:r>
        <w:rPr>
          <w:rFonts w:hint="eastAsia" w:ascii="宋体" w:hAnsi="宋体" w:cs="宋体"/>
          <w:sz w:val="21"/>
          <w:szCs w:val="21"/>
          <w:lang w:val="en-US" w:eastAsia="zh-CN"/>
        </w:rPr>
        <w:t>赣州</w:t>
      </w:r>
      <w:r>
        <w:rPr>
          <w:rFonts w:hint="eastAsia" w:ascii="宋体" w:hAnsi="宋体" w:eastAsia="宋体" w:cs="宋体"/>
          <w:sz w:val="21"/>
          <w:szCs w:val="21"/>
          <w:lang w:val="en-US" w:eastAsia="zh-CN"/>
        </w:rPr>
        <w:t>市</w:t>
      </w:r>
      <w:r>
        <w:rPr>
          <w:rFonts w:hint="eastAsia" w:ascii="宋体" w:hAnsi="宋体" w:eastAsia="宋体" w:cs="宋体"/>
          <w:sz w:val="21"/>
          <w:szCs w:val="21"/>
        </w:rPr>
        <w:t>市场监督管理局组织的</w:t>
      </w:r>
      <w:r>
        <w:rPr>
          <w:rFonts w:hint="eastAsia" w:ascii="宋体" w:hAnsi="宋体" w:cs="宋体"/>
          <w:sz w:val="21"/>
          <w:szCs w:val="21"/>
          <w:lang w:val="en-US" w:eastAsia="zh-CN"/>
        </w:rPr>
        <w:t>手提式灭火器</w:t>
      </w:r>
      <w:r>
        <w:rPr>
          <w:rFonts w:hint="eastAsia" w:ascii="宋体" w:hAnsi="宋体" w:eastAsia="宋体" w:cs="宋体"/>
          <w:sz w:val="21"/>
          <w:szCs w:val="21"/>
        </w:rPr>
        <w:t>产品质量监督抽查。抽查产品范围包括</w:t>
      </w:r>
      <w:r>
        <w:rPr>
          <w:rFonts w:hint="eastAsia" w:ascii="宋体" w:hAnsi="宋体" w:cs="宋体"/>
          <w:sz w:val="21"/>
          <w:szCs w:val="21"/>
          <w:lang w:eastAsia="zh-CN"/>
        </w:rPr>
        <w:t>：</w:t>
      </w:r>
      <w:r>
        <w:rPr>
          <w:rFonts w:hint="eastAsia" w:ascii="宋体" w:hAnsi="宋体" w:cs="宋体"/>
          <w:sz w:val="21"/>
          <w:szCs w:val="21"/>
          <w:lang w:val="en-US" w:eastAsia="zh-CN"/>
        </w:rPr>
        <w:t>手提式灭火器等相关</w:t>
      </w:r>
      <w:r>
        <w:rPr>
          <w:rFonts w:hint="eastAsia" w:ascii="宋体" w:hAnsi="宋体" w:eastAsia="宋体" w:cs="宋体"/>
          <w:sz w:val="21"/>
          <w:szCs w:val="21"/>
        </w:rPr>
        <w:t>产品。</w:t>
      </w:r>
    </w:p>
    <w:p>
      <w:pPr>
        <w:adjustRightInd w:val="0"/>
        <w:snapToGri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本细则包括抽样</w:t>
      </w:r>
      <w:r>
        <w:rPr>
          <w:rFonts w:hint="eastAsia" w:ascii="宋体" w:hAnsi="宋体" w:cs="宋体"/>
          <w:sz w:val="21"/>
          <w:szCs w:val="21"/>
          <w:lang w:eastAsia="zh-CN"/>
        </w:rPr>
        <w:t>方法</w:t>
      </w:r>
      <w:r>
        <w:rPr>
          <w:rFonts w:hint="eastAsia" w:ascii="宋体" w:hAnsi="宋体" w:eastAsia="宋体" w:cs="宋体"/>
          <w:sz w:val="21"/>
          <w:szCs w:val="21"/>
        </w:rPr>
        <w:t>、检验</w:t>
      </w:r>
      <w:r>
        <w:rPr>
          <w:rFonts w:hint="eastAsia" w:ascii="宋体" w:hAnsi="宋体" w:cs="宋体"/>
          <w:sz w:val="21"/>
          <w:szCs w:val="21"/>
          <w:lang w:eastAsia="zh-CN"/>
        </w:rPr>
        <w:t>依据</w:t>
      </w:r>
      <w:r>
        <w:rPr>
          <w:rFonts w:hint="eastAsia" w:ascii="宋体" w:hAnsi="宋体" w:eastAsia="宋体" w:cs="宋体"/>
          <w:sz w:val="21"/>
          <w:szCs w:val="21"/>
        </w:rPr>
        <w:t>、判定</w:t>
      </w:r>
      <w:r>
        <w:rPr>
          <w:rFonts w:hint="eastAsia" w:ascii="宋体" w:hAnsi="宋体" w:cs="宋体"/>
          <w:sz w:val="21"/>
          <w:szCs w:val="21"/>
          <w:lang w:eastAsia="zh-CN"/>
        </w:rPr>
        <w:t>规则</w:t>
      </w:r>
      <w:r>
        <w:rPr>
          <w:rFonts w:hint="eastAsia" w:ascii="宋体" w:hAnsi="宋体" w:eastAsia="宋体" w:cs="宋体"/>
          <w:sz w:val="21"/>
          <w:szCs w:val="21"/>
        </w:rPr>
        <w:t>、异议处理等。</w:t>
      </w:r>
    </w:p>
    <w:p>
      <w:pPr>
        <w:snapToGrid w:val="0"/>
        <w:spacing w:beforeLines="0" w:afterLines="0" w:line="440" w:lineRule="exact"/>
        <w:rPr>
          <w:rFonts w:hint="eastAsia" w:ascii="黑体" w:hAnsi="黑体" w:eastAsia="黑体"/>
          <w:sz w:val="21"/>
        </w:rPr>
      </w:pPr>
      <w:r>
        <w:rPr>
          <w:rFonts w:hint="eastAsia" w:ascii="黑体" w:hAnsi="黑体" w:eastAsia="黑体"/>
          <w:sz w:val="21"/>
        </w:rPr>
        <w:t>1 抽样方法</w:t>
      </w:r>
    </w:p>
    <w:p>
      <w:pPr>
        <w:snapToGrid w:val="0"/>
        <w:spacing w:beforeLines="0" w:afterLines="0" w:line="440" w:lineRule="exact"/>
        <w:rPr>
          <w:rFonts w:hint="eastAsia" w:ascii="黑体" w:hAnsi="黑体" w:eastAsia="黑体"/>
          <w:sz w:val="21"/>
        </w:rPr>
      </w:pPr>
      <w:r>
        <w:rPr>
          <w:rFonts w:hint="eastAsia" w:ascii="黑体" w:hAnsi="黑体" w:eastAsia="黑体"/>
          <w:sz w:val="21"/>
        </w:rPr>
        <w:t>以随机抽样的方式在被抽样生产者、销售者的待销产品中抽取。</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rPr>
        <w:t>以随机抽样的方式</w:t>
      </w:r>
      <w:r>
        <w:rPr>
          <w:rFonts w:hint="eastAsia" w:ascii="黑体" w:hAnsi="黑体" w:eastAsia="黑体"/>
          <w:sz w:val="21"/>
          <w:lang w:eastAsia="zh-CN"/>
        </w:rPr>
        <w:t>抽取检验样品和备用样品</w:t>
      </w:r>
      <w:r>
        <w:rPr>
          <w:rFonts w:hint="eastAsia" w:ascii="黑体" w:hAnsi="黑体" w:eastAsia="黑体"/>
          <w:sz w:val="21"/>
          <w:lang w:val="en-US" w:eastAsia="zh-CN"/>
        </w:rPr>
        <w:t>。</w:t>
      </w:r>
    </w:p>
    <w:p>
      <w:pPr>
        <w:snapToGrid w:val="0"/>
        <w:spacing w:beforeLines="0" w:afterLines="0" w:line="440" w:lineRule="exact"/>
        <w:rPr>
          <w:rFonts w:hint="eastAsia" w:ascii="黑体" w:hAnsi="黑体" w:eastAsia="黑体"/>
          <w:sz w:val="21"/>
          <w:lang w:eastAsia="zh-CN"/>
        </w:rPr>
      </w:pPr>
      <w:r>
        <w:rPr>
          <w:rFonts w:hint="eastAsia" w:ascii="黑体" w:hAnsi="黑体" w:eastAsia="黑体"/>
          <w:sz w:val="21"/>
          <w:lang w:eastAsia="zh-CN"/>
        </w:rPr>
        <w:t>每批次产品抽取样品</w:t>
      </w:r>
      <w:r>
        <w:rPr>
          <w:rFonts w:hint="eastAsia" w:ascii="黑体" w:hAnsi="黑体" w:eastAsia="黑体"/>
          <w:sz w:val="21"/>
          <w:lang w:val="en-US" w:eastAsia="zh-CN"/>
        </w:rPr>
        <w:t>6具</w:t>
      </w:r>
      <w:r>
        <w:rPr>
          <w:rFonts w:hint="eastAsia" w:ascii="黑体" w:hAnsi="黑体" w:eastAsia="黑体"/>
          <w:sz w:val="21"/>
          <w:lang w:eastAsia="zh-CN"/>
        </w:rPr>
        <w:t>，其中</w:t>
      </w:r>
      <w:r>
        <w:rPr>
          <w:rFonts w:hint="eastAsia" w:ascii="黑体" w:hAnsi="黑体" w:eastAsia="黑体"/>
          <w:sz w:val="21"/>
          <w:lang w:val="en-US" w:eastAsia="zh-CN"/>
        </w:rPr>
        <w:t>3具</w:t>
      </w:r>
      <w:r>
        <w:rPr>
          <w:rFonts w:hint="eastAsia" w:ascii="黑体" w:hAnsi="黑体" w:eastAsia="黑体"/>
          <w:sz w:val="21"/>
          <w:lang w:eastAsia="zh-CN"/>
        </w:rPr>
        <w:t>作为检验样品，</w:t>
      </w:r>
      <w:r>
        <w:rPr>
          <w:rFonts w:hint="eastAsia" w:ascii="黑体" w:hAnsi="黑体" w:eastAsia="黑体"/>
          <w:sz w:val="21"/>
          <w:lang w:val="en-US" w:eastAsia="zh-CN"/>
        </w:rPr>
        <w:t>3具</w:t>
      </w:r>
      <w:r>
        <w:rPr>
          <w:rFonts w:hint="eastAsia" w:ascii="黑体" w:hAnsi="黑体" w:eastAsia="黑体"/>
          <w:sz w:val="21"/>
          <w:lang w:eastAsia="zh-CN"/>
        </w:rPr>
        <w:t>作为备用样品。</w:t>
      </w:r>
    </w:p>
    <w:p>
      <w:pPr>
        <w:snapToGrid w:val="0"/>
        <w:spacing w:beforeLines="0" w:afterLines="0" w:line="440" w:lineRule="exact"/>
        <w:rPr>
          <w:rFonts w:hint="eastAsia" w:ascii="黑体" w:hAnsi="黑体" w:eastAsia="黑体"/>
          <w:sz w:val="21"/>
        </w:rPr>
      </w:pPr>
      <w:r>
        <w:rPr>
          <w:rFonts w:hint="eastAsia" w:ascii="黑体" w:hAnsi="黑体" w:eastAsia="黑体"/>
          <w:sz w:val="21"/>
        </w:rPr>
        <w:t>2 检验依据</w:t>
      </w:r>
    </w:p>
    <w:tbl>
      <w:tblPr>
        <w:tblStyle w:val="8"/>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序号</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检验项目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rPr>
            </w:pPr>
            <w:r>
              <w:rPr>
                <w:rFonts w:hint="eastAsia" w:ascii="宋体" w:hAnsi="宋体" w:eastAsia="宋体"/>
                <w:sz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灭火器的总质量</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2</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灭火剂充装总量误差</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3</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20℃温度喷射性能</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4</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充装口内径</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5</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筒体水压试验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6</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筒体爆破压力</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7</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灭火器提把和压把</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8</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标志和颜色</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9</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筒体压扁试验</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10</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结构设计</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4351.1-2005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11</w:t>
            </w:r>
          </w:p>
        </w:tc>
        <w:tc>
          <w:tcPr>
            <w:tcW w:w="480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rPr>
              <w:t>干粉灭火剂主要组分含量（质量分数）</w:t>
            </w:r>
          </w:p>
        </w:tc>
        <w:tc>
          <w:tcPr>
            <w:tcW w:w="2695" w:type="dxa"/>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440" w:lineRule="exact"/>
              <w:ind w:firstLine="0" w:firstLineChars="0"/>
              <w:jc w:val="center"/>
              <w:textAlignment w:val="auto"/>
              <w:rPr>
                <w:rFonts w:hint="eastAsia" w:ascii="宋体" w:hAnsi="宋体" w:eastAsia="宋体"/>
                <w:sz w:val="21"/>
                <w:lang w:val="en-US" w:eastAsia="zh-CN"/>
              </w:rPr>
            </w:pPr>
            <w:r>
              <w:rPr>
                <w:rFonts w:hint="eastAsia" w:ascii="宋体" w:hAnsi="宋体" w:eastAsia="宋体"/>
                <w:sz w:val="21"/>
                <w:lang w:val="en-US" w:eastAsia="zh-CN"/>
              </w:rPr>
              <w:t>GB 4066-2017</w:t>
            </w:r>
          </w:p>
        </w:tc>
      </w:tr>
    </w:tbl>
    <w:p>
      <w:pPr>
        <w:adjustRightInd w:val="0"/>
        <w:snapToGrid w:val="0"/>
        <w:spacing w:beforeLines="0" w:afterLines="0" w:line="440" w:lineRule="exact"/>
        <w:ind w:firstLine="420" w:firstLineChars="200"/>
        <w:jc w:val="center"/>
        <w:rPr>
          <w:rFonts w:hint="eastAsia" w:ascii="宋体" w:hAnsi="宋体" w:eastAsia="宋体"/>
          <w:sz w:val="21"/>
        </w:rPr>
      </w:pPr>
      <w:r>
        <w:rPr>
          <w:rFonts w:hint="eastAsia" w:ascii="宋体" w:hAnsi="宋体" w:eastAsia="宋体"/>
          <w:sz w:val="21"/>
        </w:rPr>
        <w:t>表</w:t>
      </w:r>
      <w:r>
        <w:rPr>
          <w:rFonts w:hint="eastAsia" w:ascii="宋体" w:hAnsi="宋体" w:eastAsia="宋体"/>
          <w:sz w:val="21"/>
          <w:lang w:val="en-US" w:eastAsia="zh-CN"/>
        </w:rPr>
        <w:t>1 手提式灭火器检验</w:t>
      </w:r>
      <w:r>
        <w:rPr>
          <w:rFonts w:hint="eastAsia" w:ascii="宋体" w:hAnsi="宋体" w:eastAsia="宋体"/>
          <w:sz w:val="21"/>
        </w:rPr>
        <w:t>项目</w:t>
      </w:r>
    </w:p>
    <w:p>
      <w:pPr>
        <w:adjustRightInd w:val="0"/>
        <w:snapToGrid w:val="0"/>
        <w:spacing w:beforeLines="0" w:afterLines="0" w:line="440" w:lineRule="exact"/>
        <w:ind w:firstLine="420" w:firstLineChars="200"/>
        <w:rPr>
          <w:rFonts w:hint="eastAsia" w:ascii="宋体" w:hAnsi="宋体" w:eastAsia="宋体"/>
          <w:sz w:val="21"/>
        </w:rPr>
      </w:pPr>
    </w:p>
    <w:p>
      <w:pPr>
        <w:adjustRightInd w:val="0"/>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执行企业标准、团体标准、地方标准的产品，检验项目参照上述内容执行。</w:t>
      </w:r>
    </w:p>
    <w:p>
      <w:pPr>
        <w:snapToGrid w:val="0"/>
        <w:spacing w:beforeLines="0" w:afterLines="0" w:line="440" w:lineRule="exact"/>
        <w:ind w:firstLine="420" w:firstLineChars="200"/>
        <w:rPr>
          <w:rFonts w:hint="eastAsia" w:ascii="宋体" w:hAnsi="宋体" w:eastAsia="宋体"/>
          <w:sz w:val="21"/>
        </w:rPr>
      </w:pPr>
      <w:r>
        <w:rPr>
          <w:rFonts w:hint="eastAsia" w:ascii="宋体" w:hAnsi="宋体" w:eastAsia="宋体"/>
          <w:sz w:val="21"/>
        </w:rPr>
        <w:t>凡是注日期的文件，其随后所有的修改单（不包括勘误的内容）或修订版不适用于本细则。凡是不注日期的文件，其最新版本适用于本细则。</w:t>
      </w:r>
    </w:p>
    <w:p>
      <w:pPr>
        <w:snapToGrid w:val="0"/>
        <w:spacing w:beforeLines="0" w:afterLines="0" w:line="440" w:lineRule="exact"/>
        <w:ind w:firstLine="420" w:firstLineChars="200"/>
        <w:rPr>
          <w:rFonts w:hint="eastAsia" w:ascii="宋体" w:hAnsi="宋体" w:eastAsia="宋体"/>
          <w:sz w:val="21"/>
        </w:rPr>
      </w:pPr>
    </w:p>
    <w:p>
      <w:pPr>
        <w:spacing w:beforeLines="0" w:afterLines="0" w:line="440" w:lineRule="exact"/>
        <w:rPr>
          <w:rFonts w:hint="eastAsia" w:ascii="黑体" w:hAnsi="黑体" w:eastAsia="黑体"/>
          <w:sz w:val="21"/>
        </w:rPr>
      </w:pPr>
      <w:r>
        <w:rPr>
          <w:rFonts w:hint="eastAsia" w:ascii="黑体" w:hAnsi="黑体" w:eastAsia="黑体"/>
          <w:sz w:val="21"/>
        </w:rPr>
        <w:t>3 判定规则</w:t>
      </w:r>
    </w:p>
    <w:p>
      <w:pPr>
        <w:spacing w:beforeLines="0" w:afterLines="0" w:line="440" w:lineRule="exact"/>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 xml:space="preserve">3.1依据标准 </w:t>
      </w:r>
    </w:p>
    <w:p>
      <w:pPr>
        <w:spacing w:beforeLines="0" w:afterLines="0" w:line="440" w:lineRule="exact"/>
        <w:ind w:firstLine="420" w:firstLineChars="200"/>
        <w:rPr>
          <w:rFonts w:hint="eastAsia" w:ascii="宋体" w:hAnsi="宋体" w:eastAsia="宋体"/>
          <w:color w:val="000000"/>
          <w:sz w:val="21"/>
          <w:lang w:val="en-US" w:eastAsia="zh-CN"/>
        </w:rPr>
      </w:pPr>
      <w:r>
        <w:rPr>
          <w:rFonts w:hint="eastAsia" w:ascii="宋体" w:hAnsi="宋体" w:eastAsia="宋体"/>
          <w:color w:val="000000"/>
          <w:sz w:val="21"/>
          <w:lang w:val="en-US" w:eastAsia="zh-CN"/>
        </w:rPr>
        <w:t>GB 4351.1-2005  手提式灭火器 第1部分：性能和结构要求</w:t>
      </w:r>
    </w:p>
    <w:p>
      <w:pPr>
        <w:spacing w:beforeLines="0" w:afterLines="0" w:line="440" w:lineRule="exact"/>
        <w:ind w:firstLine="420" w:firstLineChars="200"/>
        <w:rPr>
          <w:rFonts w:hint="eastAsia" w:ascii="宋体" w:hAnsi="宋体" w:eastAsia="宋体"/>
          <w:strike/>
          <w:color w:val="000000"/>
          <w:sz w:val="21"/>
        </w:rPr>
      </w:pPr>
      <w:r>
        <w:rPr>
          <w:rFonts w:hint="eastAsia" w:ascii="宋体" w:hAnsi="宋体" w:eastAsia="宋体"/>
          <w:color w:val="000000"/>
          <w:sz w:val="21"/>
        </w:rPr>
        <w:t>现行有效的企业标准、团体标准、地方标准及产品明示质量要求</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rPr>
        <w:t>3.2判定原则</w:t>
      </w:r>
    </w:p>
    <w:p>
      <w:pPr>
        <w:snapToGrid w:val="0"/>
        <w:spacing w:beforeLines="0" w:afterLines="0" w:line="440" w:lineRule="exact"/>
        <w:ind w:firstLine="420" w:firstLineChars="200"/>
        <w:rPr>
          <w:rFonts w:hint="eastAsia" w:ascii="宋体" w:hAnsi="宋体" w:eastAsia="宋体"/>
          <w:color w:val="000000"/>
          <w:sz w:val="21"/>
        </w:rPr>
      </w:pPr>
      <w:r>
        <w:rPr>
          <w:rFonts w:hint="eastAsia" w:ascii="宋体" w:hAnsi="宋体" w:eastAsia="宋体"/>
          <w:color w:val="000000"/>
          <w:sz w:val="21"/>
        </w:rPr>
        <w:t>经检验，检验项目全部合格，判定为被抽查产品所检项目未发现不合格；检验项目中任一项或一项以上不合格，判定为被抽查产品不合格。</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若被检产品明示的质量要求高于本细则中检验项目依据的标准要求时，应按被检产品明示的质量要求判定。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若被检产品明示的质量要求低于或包含本细则中检验项目依据的推荐性标准要求时，应以被检产品明示的质量要求判定。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若被检产品明示的质量要求缺少本细则中检验项目依据的强制性标准要求时，应按照强制性标准要求判定。</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若被检产品明示的质量要求缺少本细则中检验项目依据的推荐性标准要求时，该项目不参与判定。</w:t>
      </w:r>
    </w:p>
    <w:p>
      <w:pPr>
        <w:spacing w:beforeLines="0" w:afterLines="0" w:line="440" w:lineRule="exact"/>
        <w:rPr>
          <w:rFonts w:hint="eastAsia" w:ascii="黑体" w:hAnsi="黑体" w:eastAsia="黑体"/>
          <w:sz w:val="21"/>
        </w:rPr>
      </w:pPr>
      <w:r>
        <w:rPr>
          <w:rFonts w:hint="eastAsia" w:ascii="黑体" w:hAnsi="黑体" w:eastAsia="黑体"/>
          <w:sz w:val="21"/>
          <w:lang w:val="en-US" w:eastAsia="zh-CN"/>
        </w:rPr>
        <w:t>4</w:t>
      </w:r>
      <w:r>
        <w:rPr>
          <w:rFonts w:hint="eastAsia" w:ascii="黑体" w:hAnsi="黑体" w:eastAsia="黑体"/>
          <w:sz w:val="21"/>
        </w:rPr>
        <w:t xml:space="preserve"> 异议处理</w:t>
      </w:r>
    </w:p>
    <w:p>
      <w:pPr>
        <w:spacing w:beforeLines="0" w:afterLines="0" w:line="440" w:lineRule="exact"/>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4.1 复查</w:t>
      </w:r>
    </w:p>
    <w:p>
      <w:pPr>
        <w:snapToGrid w:val="0"/>
        <w:spacing w:beforeLines="0" w:afterLines="0" w:line="440" w:lineRule="exact"/>
        <w:ind w:firstLine="417" w:firstLineChars="199"/>
        <w:rPr>
          <w:rFonts w:hint="eastAsia" w:ascii="宋体" w:hAnsi="宋体" w:eastAsia="宋体"/>
          <w:color w:val="000000"/>
          <w:sz w:val="21"/>
        </w:rPr>
      </w:pPr>
      <w:r>
        <w:rPr>
          <w:rFonts w:hint="eastAsia" w:ascii="宋体" w:hAnsi="宋体" w:eastAsia="宋体"/>
          <w:color w:val="000000"/>
          <w:sz w:val="21"/>
        </w:rPr>
        <w:t>被抽样生产者、销售者对抽样过程、样品真实性等有异议的，收到异议处理申请的</w:t>
      </w:r>
      <w:r>
        <w:rPr>
          <w:rFonts w:hint="eastAsia" w:ascii="宋体" w:hAnsi="宋体" w:eastAsia="宋体"/>
          <w:color w:val="000000"/>
          <w:sz w:val="21"/>
          <w:lang w:val="en-US" w:eastAsia="zh-CN"/>
        </w:rPr>
        <w:t>赣州市</w:t>
      </w:r>
      <w:r>
        <w:rPr>
          <w:rFonts w:hint="eastAsia" w:ascii="宋体" w:hAnsi="宋体" w:eastAsia="宋体"/>
          <w:color w:val="000000"/>
          <w:sz w:val="21"/>
        </w:rPr>
        <w:t>市场监督管理局组织异议处理，并将处理结论书面告知申请人。</w:t>
      </w:r>
    </w:p>
    <w:p>
      <w:pPr>
        <w:spacing w:beforeLines="0" w:afterLines="0" w:line="440" w:lineRule="exact"/>
        <w:rPr>
          <w:rFonts w:hint="eastAsia" w:ascii="宋体" w:hAnsi="宋体" w:eastAsia="宋体" w:cs="Times New Roman"/>
          <w:sz w:val="21"/>
          <w:szCs w:val="24"/>
          <w:lang w:val="en-US" w:eastAsia="zh-CN"/>
        </w:rPr>
      </w:pPr>
      <w:bookmarkStart w:id="1" w:name="_GoBack"/>
      <w:r>
        <w:rPr>
          <w:rFonts w:hint="eastAsia" w:ascii="宋体" w:hAnsi="宋体" w:eastAsia="宋体" w:cs="Times New Roman"/>
          <w:sz w:val="21"/>
          <w:szCs w:val="24"/>
          <w:lang w:val="en-US" w:eastAsia="zh-CN"/>
        </w:rPr>
        <w:t>4.2 复检</w:t>
      </w:r>
    </w:p>
    <w:bookmarkEnd w:id="1"/>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.2.1被抽样销售者对检验结论有异议的，应当自收到检验结论书面告知之日起十五日内向</w:t>
      </w:r>
      <w:r>
        <w:rPr>
          <w:rFonts w:hint="eastAsia" w:ascii="宋体" w:hAnsi="宋体"/>
          <w:color w:val="000000"/>
          <w:sz w:val="21"/>
          <w:lang w:eastAsia="zh-CN"/>
        </w:rPr>
        <w:t>赣州</w:t>
      </w:r>
      <w:r>
        <w:rPr>
          <w:rFonts w:hint="eastAsia" w:ascii="宋体" w:hAnsi="宋体" w:eastAsia="宋体"/>
          <w:color w:val="000000"/>
          <w:sz w:val="21"/>
        </w:rPr>
        <w:t>市市场监督管理局提出书面异议处理申请，并提交相关材料。</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.2.2 被抽样销售者对检验结论有异议，提出书面复检申请并阐明理由的，收到异议处理申请经</w:t>
      </w:r>
      <w:r>
        <w:rPr>
          <w:rFonts w:hint="eastAsia" w:ascii="宋体" w:hAnsi="宋体"/>
          <w:color w:val="000000"/>
          <w:sz w:val="21"/>
          <w:lang w:eastAsia="zh-CN"/>
        </w:rPr>
        <w:t>赣州</w:t>
      </w:r>
      <w:r>
        <w:rPr>
          <w:rFonts w:hint="eastAsia" w:ascii="宋体" w:hAnsi="宋体" w:eastAsia="宋体"/>
          <w:color w:val="000000"/>
          <w:sz w:val="21"/>
        </w:rPr>
        <w:t>市市场监督管理局组织研究，对需要复检并具备检验条件的，组织复检。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.2.3 申请人应当自收到市场监督管理部门复检通知之日起七日内办理复检手续。逾期未办理的，视为放弃复检。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 xml:space="preserve">.2.4 </w:t>
      </w:r>
      <w:r>
        <w:rPr>
          <w:rFonts w:hint="eastAsia" w:ascii="宋体" w:hAnsi="宋体"/>
          <w:color w:val="000000"/>
          <w:sz w:val="21"/>
          <w:lang w:eastAsia="zh-CN"/>
        </w:rPr>
        <w:t>赣州</w:t>
      </w:r>
      <w:r>
        <w:rPr>
          <w:rFonts w:hint="eastAsia" w:ascii="宋体" w:hAnsi="宋体" w:eastAsia="宋体"/>
          <w:color w:val="000000"/>
          <w:sz w:val="21"/>
        </w:rPr>
        <w:t>市市场监督管理局自申请人办理复检手续之日起十日内确定具备相应资质的检验机构进行复检。</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.2.5 被抽样销售者隐匿、转移、变卖、损毁备用样品的，应当终止复检，并以初检结论为最终结论。</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.2.6 复检机构应当在规定时间内按照监督抽查实施细则所规定的检验方法、判定规则等对与异议相关的检验项目进行复检，并将复检结论及时报送</w:t>
      </w:r>
      <w:r>
        <w:rPr>
          <w:rFonts w:hint="eastAsia" w:ascii="宋体" w:hAnsi="宋体"/>
          <w:color w:val="000000"/>
          <w:sz w:val="21"/>
          <w:lang w:eastAsia="zh-CN"/>
        </w:rPr>
        <w:t>赣州</w:t>
      </w:r>
      <w:r>
        <w:rPr>
          <w:rFonts w:hint="eastAsia" w:ascii="宋体" w:hAnsi="宋体" w:eastAsia="宋体"/>
          <w:color w:val="000000"/>
          <w:sz w:val="21"/>
        </w:rPr>
        <w:t>市市场监督管理局，由</w:t>
      </w:r>
      <w:r>
        <w:rPr>
          <w:rFonts w:hint="eastAsia" w:ascii="宋体" w:hAnsi="宋体"/>
          <w:color w:val="000000"/>
          <w:sz w:val="21"/>
          <w:lang w:eastAsia="zh-CN"/>
        </w:rPr>
        <w:t>赣州</w:t>
      </w:r>
      <w:r>
        <w:rPr>
          <w:rFonts w:hint="eastAsia" w:ascii="宋体" w:hAnsi="宋体" w:eastAsia="宋体"/>
          <w:color w:val="000000"/>
          <w:sz w:val="21"/>
        </w:rPr>
        <w:t>市市场监督管理局书面告知复检申请人。复检结论为最终结论。</w:t>
      </w:r>
    </w:p>
    <w:p>
      <w:pPr>
        <w:snapToGrid w:val="0"/>
        <w:spacing w:beforeLines="0" w:afterLines="0" w:line="440" w:lineRule="exact"/>
        <w:rPr>
          <w:rFonts w:hint="eastAsia" w:ascii="宋体" w:hAnsi="宋体" w:eastAsia="宋体"/>
          <w:color w:val="000000"/>
          <w:sz w:val="21"/>
          <w:lang w:val="en-US" w:eastAsia="zh-CN"/>
        </w:rPr>
      </w:pPr>
      <w:r>
        <w:rPr>
          <w:rFonts w:hint="eastAsia" w:ascii="宋体" w:hAnsi="宋体" w:eastAsia="宋体"/>
          <w:color w:val="000000"/>
          <w:sz w:val="21"/>
          <w:lang w:val="en-US" w:eastAsia="zh-CN"/>
        </w:rPr>
        <w:t>4</w:t>
      </w:r>
      <w:r>
        <w:rPr>
          <w:rFonts w:hint="eastAsia" w:ascii="宋体" w:hAnsi="宋体" w:eastAsia="宋体"/>
          <w:color w:val="000000"/>
          <w:sz w:val="21"/>
        </w:rPr>
        <w:t>.2.7 复检费用由申请人向复检机构先行支付。复检结论与初检结论一致的，复检费用由申请人承担；与初检结论不一致的，复检费用由承担本次抽样检验的单位承担</w:t>
      </w:r>
      <w:r>
        <w:rPr>
          <w:rFonts w:hint="eastAsia" w:ascii="宋体" w:hAnsi="宋体" w:eastAsia="宋体"/>
          <w:color w:val="000000"/>
          <w:sz w:val="21"/>
          <w:lang w:eastAsia="zh-CN"/>
        </w:rPr>
        <w:t>。</w:t>
      </w:r>
    </w:p>
    <w:p>
      <w:pPr>
        <w:snapToGrid w:val="0"/>
        <w:spacing w:beforeLines="0" w:afterLines="0" w:line="440" w:lineRule="exact"/>
        <w:rPr>
          <w:rFonts w:hint="eastAsia" w:ascii="宋体" w:hAnsi="宋体" w:eastAsia="宋体"/>
          <w:color w:val="000000"/>
          <w:sz w:val="21"/>
        </w:rPr>
      </w:pPr>
      <w:r>
        <w:rPr>
          <w:rFonts w:hint="eastAsia" w:ascii="宋体" w:hAnsi="宋体" w:eastAsia="宋体"/>
          <w:color w:val="000000"/>
          <w:sz w:val="21"/>
          <w:lang w:val="en-US" w:eastAsia="zh-CN"/>
        </w:rPr>
        <w:t>4</w:t>
      </w:r>
      <w:r>
        <w:rPr>
          <w:rFonts w:hint="eastAsia" w:ascii="宋体" w:hAnsi="宋体" w:eastAsia="宋体"/>
          <w:color w:val="000000"/>
          <w:sz w:val="21"/>
        </w:rPr>
        <w:t>.2.</w:t>
      </w:r>
      <w:r>
        <w:rPr>
          <w:rFonts w:hint="eastAsia" w:ascii="宋体" w:hAnsi="宋体" w:eastAsia="宋体"/>
          <w:color w:val="000000"/>
          <w:sz w:val="21"/>
          <w:lang w:val="en-US" w:eastAsia="zh-CN"/>
        </w:rPr>
        <w:t>8</w:t>
      </w:r>
      <w:r>
        <w:rPr>
          <w:rFonts w:hint="eastAsia" w:ascii="宋体" w:hAnsi="宋体" w:eastAsia="宋体"/>
          <w:color w:val="000000"/>
          <w:sz w:val="21"/>
        </w:rPr>
        <w:t xml:space="preserve"> </w:t>
      </w:r>
      <w:bookmarkStart w:id="0" w:name="_Hlk70263795"/>
      <w:r>
        <w:rPr>
          <w:rFonts w:hint="eastAsia" w:ascii="宋体" w:hAnsi="宋体" w:eastAsia="宋体"/>
          <w:color w:val="000000"/>
          <w:sz w:val="21"/>
        </w:rPr>
        <w:t>燃放性能检验项目不进行复检</w:t>
      </w:r>
      <w:bookmarkEnd w:id="0"/>
      <w:r>
        <w:rPr>
          <w:rFonts w:hint="eastAsia" w:ascii="宋体" w:hAnsi="宋体" w:eastAsia="宋体"/>
          <w:color w:val="000000"/>
          <w:sz w:val="21"/>
        </w:rPr>
        <w:t>。</w:t>
      </w:r>
    </w:p>
    <w:p>
      <w:pPr>
        <w:spacing w:beforeLines="0" w:afterLines="0" w:line="440" w:lineRule="exact"/>
        <w:rPr>
          <w:rFonts w:hint="eastAsia" w:ascii="黑体" w:hAnsi="黑体" w:eastAsia="黑体"/>
          <w:sz w:val="21"/>
          <w:lang w:val="en-US" w:eastAsia="zh-CN"/>
        </w:rPr>
      </w:pPr>
      <w:r>
        <w:rPr>
          <w:rFonts w:hint="eastAsia" w:ascii="黑体" w:hAnsi="黑体" w:eastAsia="黑体"/>
          <w:sz w:val="21"/>
          <w:lang w:val="en-US" w:eastAsia="zh-CN"/>
        </w:rPr>
        <w:t xml:space="preserve">5 其他 </w:t>
      </w:r>
    </w:p>
    <w:p>
      <w:pPr>
        <w:snapToGrid w:val="0"/>
        <w:spacing w:beforeLines="0" w:afterLines="0" w:line="440" w:lineRule="exact"/>
        <w:rPr>
          <w:rFonts w:hint="eastAsia" w:ascii="宋体" w:hAnsi="宋体" w:eastAsia="宋体" w:cs="宋体"/>
          <w:sz w:val="21"/>
          <w:szCs w:val="21"/>
        </w:rPr>
      </w:pPr>
      <w:r>
        <w:rPr>
          <w:rFonts w:hint="eastAsia" w:ascii="宋体" w:hAnsi="宋体" w:eastAsia="宋体"/>
          <w:color w:val="000000"/>
          <w:sz w:val="21"/>
          <w:lang w:val="en-US" w:eastAsia="zh-CN"/>
        </w:rPr>
        <w:t>5</w:t>
      </w:r>
      <w:r>
        <w:rPr>
          <w:rFonts w:hint="eastAsia" w:ascii="宋体" w:hAnsi="宋体" w:eastAsia="宋体"/>
          <w:color w:val="000000"/>
          <w:sz w:val="21"/>
        </w:rPr>
        <w:t>.1 本细则由</w:t>
      </w:r>
      <w:r>
        <w:rPr>
          <w:rFonts w:hint="eastAsia" w:ascii="宋体" w:hAnsi="宋体" w:eastAsia="宋体"/>
          <w:color w:val="000000"/>
          <w:sz w:val="21"/>
          <w:lang w:eastAsia="zh-CN"/>
        </w:rPr>
        <w:t>赣州</w:t>
      </w:r>
      <w:r>
        <w:rPr>
          <w:rFonts w:hint="eastAsia" w:ascii="宋体" w:hAnsi="宋体" w:eastAsia="宋体"/>
          <w:color w:val="000000"/>
          <w:sz w:val="21"/>
        </w:rPr>
        <w:t>市市场监督管理局制定并负责解释。</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swiss"/>
    <w:pitch w:val="default"/>
    <w:sig w:usb0="00000001" w:usb1="080E0000" w:usb2="00000000" w:usb3="00000000" w:csb0="00040000" w:csb1="00000000"/>
  </w:font>
  <w:font w:name="汉鼎简书宋二">
    <w:altName w:val="宋体"/>
    <w:panose1 w:val="00000000000000000000"/>
    <w:charset w:val="86"/>
    <w:family w:val="swiss"/>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QyZmVmNmUxZGUyMzc3ZjhlODU5MjM4M2Q2Y2I3YmQ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74FD5"/>
    <w:rsid w:val="00187CFC"/>
    <w:rsid w:val="00192763"/>
    <w:rsid w:val="001C1142"/>
    <w:rsid w:val="001C516A"/>
    <w:rsid w:val="001E2582"/>
    <w:rsid w:val="00245F7D"/>
    <w:rsid w:val="0028538E"/>
    <w:rsid w:val="0028646B"/>
    <w:rsid w:val="002968AA"/>
    <w:rsid w:val="002B1BE3"/>
    <w:rsid w:val="00312FC1"/>
    <w:rsid w:val="00330639"/>
    <w:rsid w:val="003957D3"/>
    <w:rsid w:val="00396FDD"/>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B2323"/>
    <w:rsid w:val="005E12F9"/>
    <w:rsid w:val="005E4EA7"/>
    <w:rsid w:val="006052B1"/>
    <w:rsid w:val="00607A4D"/>
    <w:rsid w:val="00607B11"/>
    <w:rsid w:val="0061090E"/>
    <w:rsid w:val="00612980"/>
    <w:rsid w:val="00623D69"/>
    <w:rsid w:val="00650B24"/>
    <w:rsid w:val="00655CB7"/>
    <w:rsid w:val="00656311"/>
    <w:rsid w:val="0068142F"/>
    <w:rsid w:val="00682BF1"/>
    <w:rsid w:val="0068631C"/>
    <w:rsid w:val="006A7594"/>
    <w:rsid w:val="006B13A6"/>
    <w:rsid w:val="006B5503"/>
    <w:rsid w:val="006B6E74"/>
    <w:rsid w:val="006C2626"/>
    <w:rsid w:val="006D1664"/>
    <w:rsid w:val="006D2275"/>
    <w:rsid w:val="006F51D1"/>
    <w:rsid w:val="00744A8E"/>
    <w:rsid w:val="00746C43"/>
    <w:rsid w:val="00750994"/>
    <w:rsid w:val="007660A7"/>
    <w:rsid w:val="00771DAE"/>
    <w:rsid w:val="00785B48"/>
    <w:rsid w:val="007E0441"/>
    <w:rsid w:val="007E1AE0"/>
    <w:rsid w:val="007E2F2D"/>
    <w:rsid w:val="00802B25"/>
    <w:rsid w:val="00850096"/>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70D7"/>
    <w:rsid w:val="00CD674A"/>
    <w:rsid w:val="00CE23D6"/>
    <w:rsid w:val="00D64436"/>
    <w:rsid w:val="00D70706"/>
    <w:rsid w:val="00D740C5"/>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7B24A73"/>
    <w:rsid w:val="0F2C08D3"/>
    <w:rsid w:val="175C49A5"/>
    <w:rsid w:val="18556426"/>
    <w:rsid w:val="185D049A"/>
    <w:rsid w:val="187E5C1A"/>
    <w:rsid w:val="1BB43086"/>
    <w:rsid w:val="1E7D1C32"/>
    <w:rsid w:val="23840ECE"/>
    <w:rsid w:val="29407A68"/>
    <w:rsid w:val="31040918"/>
    <w:rsid w:val="33EC4DB1"/>
    <w:rsid w:val="3C9A770A"/>
    <w:rsid w:val="3F5E0F5E"/>
    <w:rsid w:val="472B6A93"/>
    <w:rsid w:val="47440F1A"/>
    <w:rsid w:val="47922AC1"/>
    <w:rsid w:val="51F24C5E"/>
    <w:rsid w:val="526D5512"/>
    <w:rsid w:val="533C5297"/>
    <w:rsid w:val="55510321"/>
    <w:rsid w:val="579C1D99"/>
    <w:rsid w:val="6E1F3ADC"/>
    <w:rsid w:val="6F180889"/>
    <w:rsid w:val="72192610"/>
    <w:rsid w:val="79BE50AB"/>
    <w:rsid w:val="7BFD5AAA"/>
    <w:rsid w:val="7E5C334E"/>
    <w:rsid w:val="7F8C48B8"/>
    <w:rsid w:val="FF6FEF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1388</Words>
  <Characters>1545</Characters>
  <Lines>32</Lines>
  <Paragraphs>9</Paragraphs>
  <TotalTime>1</TotalTime>
  <ScaleCrop>false</ScaleCrop>
  <LinksUpToDate>false</LinksUpToDate>
  <CharactersWithSpaces>1587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2023-08-16T16:47:00Z</dcterms:created>
  <dc:creator>微软用户</dc:creator>
  <cp:lastModifiedBy>user</cp:lastModifiedBy>
  <cp:lastPrinted>2020-12-10T16:46:00Z</cp:lastPrinted>
  <dcterms:modified xsi:type="dcterms:W3CDTF">2024-08-30T16:15:46Z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