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17</w:t>
      </w:r>
      <w:r>
        <w:rPr>
          <w:rFonts w:hint="eastAsia" w:ascii="黑体" w:hAnsi="宋体" w:eastAsia="黑体"/>
          <w:color w:val="000000"/>
          <w:sz w:val="28"/>
          <w:szCs w:val="28"/>
        </w:rPr>
        <w:t>-2024</w:t>
      </w:r>
      <w:r>
        <w:rPr>
          <w:rFonts w:ascii="宋体" w:hAnsi="宋体" w:eastAsia="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eastAsia="宋体"/>
          <w:color w:val="000000"/>
          <w:spacing w:val="0"/>
          <w:w w:val="100"/>
          <w:sz w:val="44"/>
          <w:szCs w:val="44"/>
          <w:highlight w:val="yellow"/>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pStyle w:val="2"/>
        <w:rPr>
          <w:rFonts w:hint="eastAsia"/>
          <w:spacing w:val="0"/>
          <w:w w:val="100"/>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摩托车乘员头盔</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rFonts w:eastAsia="宋体"/>
          <w:color w:val="000000"/>
          <w:spacing w:val="0"/>
          <w:w w:val="100"/>
          <w:sz w:val="44"/>
          <w:szCs w:val="44"/>
        </w:rPr>
      </w:pPr>
    </w:p>
    <w:p>
      <w:pPr>
        <w:pStyle w:val="2"/>
      </w:pPr>
    </w:p>
    <w:p>
      <w:pPr>
        <w:pStyle w:val="2"/>
      </w:pPr>
    </w:p>
    <w:p>
      <w:pPr>
        <w:jc w:val="both"/>
        <w:rPr>
          <w:rFonts w:hint="eastAsia" w:eastAsia="宋体"/>
          <w:color w:val="000000"/>
          <w:spacing w:val="0"/>
          <w:w w:val="100"/>
          <w:sz w:val="44"/>
          <w:szCs w:val="44"/>
        </w:rPr>
      </w:pPr>
    </w:p>
    <w:p>
      <w:pPr>
        <w:jc w:val="both"/>
        <w:rPr>
          <w:rFonts w:hint="eastAsia" w:eastAsia="宋体"/>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rFonts w:eastAsia="宋体"/>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Times New Roman" w:hAnsi="Times New Roman" w:eastAsia="黑体" w:cs="Times New Roman"/>
          <w:b/>
          <w:bCs/>
          <w:sz w:val="48"/>
          <w:szCs w:val="48"/>
          <w:lang w:val="en-US" w:eastAsia="zh-CN"/>
        </w:rPr>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pPr>
    </w:p>
    <w:p>
      <w:pPr>
        <w:adjustRightInd w:val="0"/>
        <w:snapToGrid w:val="0"/>
        <w:spacing w:line="360" w:lineRule="auto"/>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摩托车乘员头盔产品质量监督抽查实施细则（2024）</w:t>
      </w:r>
    </w:p>
    <w:p>
      <w:pPr>
        <w:adjustRightInd w:val="0"/>
        <w:spacing w:line="300" w:lineRule="auto"/>
        <w:jc w:val="center"/>
        <w:rPr>
          <w:rFonts w:hint="eastAsia" w:ascii="宋体" w:hAnsi="宋体" w:eastAsia="宋体" w:cs="宋体"/>
          <w:b/>
          <w:bCs/>
          <w:sz w:val="24"/>
          <w:szCs w:val="24"/>
          <w:highlight w:val="none"/>
        </w:rPr>
      </w:pPr>
      <w:bookmarkStart w:id="0" w:name="_GoBack"/>
      <w:bookmarkEnd w:id="0"/>
    </w:p>
    <w:p>
      <w:pPr>
        <w:snapToGrid w:val="0"/>
        <w:spacing w:beforeLines="0" w:afterLines="0" w:line="440" w:lineRule="exact"/>
        <w:rPr>
          <w:rFonts w:hint="eastAsia" w:ascii="黑体" w:hAnsi="黑体" w:eastAsia="黑体" w:cs="Times New Roman"/>
          <w:sz w:val="21"/>
          <w:szCs w:val="24"/>
          <w:lang w:val="en-US" w:eastAsia="zh-CN"/>
        </w:rPr>
      </w:pPr>
      <w:r>
        <w:rPr>
          <w:rFonts w:hint="eastAsia" w:ascii="黑体" w:hAnsi="黑体" w:eastAsia="黑体" w:cs="Times New Roman"/>
          <w:sz w:val="21"/>
          <w:szCs w:val="24"/>
          <w:lang w:val="en-US" w:eastAsia="zh-CN"/>
        </w:rPr>
        <w:t>1 抽样方法</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以随机抽样的方式在被抽样生产者、销售者的待销产品中抽取。</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随机数一般可使用随机数表等方法产生。</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每批次抽样数量详见表1。</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8"/>
        <w:gridCol w:w="1673"/>
        <w:gridCol w:w="2025"/>
        <w:gridCol w:w="1971"/>
        <w:gridCol w:w="19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8"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序号</w:t>
            </w:r>
          </w:p>
        </w:tc>
        <w:tc>
          <w:tcPr>
            <w:tcW w:w="1673"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产品种类</w:t>
            </w:r>
          </w:p>
        </w:tc>
        <w:tc>
          <w:tcPr>
            <w:tcW w:w="202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抽样数量（顶）</w:t>
            </w:r>
          </w:p>
        </w:tc>
        <w:tc>
          <w:tcPr>
            <w:tcW w:w="197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检验样品数量（顶）</w:t>
            </w:r>
          </w:p>
        </w:tc>
        <w:tc>
          <w:tcPr>
            <w:tcW w:w="1910"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备用样品数量（顶）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838"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1</w:t>
            </w:r>
          </w:p>
        </w:tc>
        <w:tc>
          <w:tcPr>
            <w:tcW w:w="1673"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摩托车乘员头盔</w:t>
            </w:r>
          </w:p>
        </w:tc>
        <w:tc>
          <w:tcPr>
            <w:tcW w:w="202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2</w:t>
            </w:r>
          </w:p>
        </w:tc>
        <w:tc>
          <w:tcPr>
            <w:tcW w:w="197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1</w:t>
            </w:r>
          </w:p>
        </w:tc>
        <w:tc>
          <w:tcPr>
            <w:tcW w:w="1910"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1</w:t>
            </w:r>
          </w:p>
        </w:tc>
      </w:tr>
    </w:tbl>
    <w:p>
      <w:pPr>
        <w:adjustRightInd w:val="0"/>
        <w:snapToGrid w:val="0"/>
        <w:spacing w:beforeLines="0" w:afterLines="0" w:line="440" w:lineRule="exact"/>
        <w:ind w:firstLine="420" w:firstLineChars="200"/>
        <w:jc w:val="center"/>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表1 抽取样品数量</w:t>
      </w:r>
    </w:p>
    <w:p>
      <w:pPr>
        <w:snapToGrid w:val="0"/>
        <w:spacing w:beforeLines="0" w:afterLines="0" w:line="440" w:lineRule="exact"/>
        <w:rPr>
          <w:rFonts w:hint="default" w:ascii="黑体" w:hAnsi="黑体" w:eastAsia="黑体" w:cs="Times New Roman"/>
          <w:sz w:val="21"/>
          <w:szCs w:val="24"/>
          <w:lang w:val="en-US" w:eastAsia="zh-CN"/>
        </w:rPr>
      </w:pPr>
    </w:p>
    <w:p>
      <w:pPr>
        <w:snapToGrid w:val="0"/>
        <w:spacing w:beforeLines="0" w:afterLines="0" w:line="440" w:lineRule="exact"/>
        <w:rPr>
          <w:rFonts w:hint="default" w:ascii="黑体" w:hAnsi="黑体" w:eastAsia="黑体" w:cs="Times New Roman"/>
          <w:sz w:val="21"/>
          <w:szCs w:val="24"/>
          <w:lang w:val="en-US" w:eastAsia="zh-CN"/>
        </w:rPr>
      </w:pPr>
      <w:r>
        <w:rPr>
          <w:rFonts w:hint="default" w:ascii="黑体" w:hAnsi="黑体" w:eastAsia="黑体" w:cs="Times New Roman"/>
          <w:sz w:val="21"/>
          <w:szCs w:val="24"/>
          <w:lang w:val="en-US" w:eastAsia="zh-CN"/>
        </w:rPr>
        <w:t>2 检验依据</w:t>
      </w:r>
    </w:p>
    <w:tbl>
      <w:tblPr>
        <w:tblStyle w:val="6"/>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3579"/>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序号</w:t>
            </w:r>
          </w:p>
        </w:tc>
        <w:tc>
          <w:tcPr>
            <w:tcW w:w="213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检验项目</w:t>
            </w:r>
          </w:p>
        </w:tc>
        <w:tc>
          <w:tcPr>
            <w:tcW w:w="207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1</w:t>
            </w:r>
          </w:p>
        </w:tc>
        <w:tc>
          <w:tcPr>
            <w:tcW w:w="3579"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头盔结构</w:t>
            </w:r>
          </w:p>
        </w:tc>
        <w:tc>
          <w:tcPr>
            <w:tcW w:w="3476"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2</w:t>
            </w:r>
          </w:p>
        </w:tc>
        <w:tc>
          <w:tcPr>
            <w:tcW w:w="3579"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保护区</w:t>
            </w:r>
          </w:p>
        </w:tc>
        <w:tc>
          <w:tcPr>
            <w:tcW w:w="3476"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3</w:t>
            </w:r>
          </w:p>
        </w:tc>
        <w:tc>
          <w:tcPr>
            <w:tcW w:w="3579"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头盔质量</w:t>
            </w:r>
          </w:p>
        </w:tc>
        <w:tc>
          <w:tcPr>
            <w:tcW w:w="3476"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4</w:t>
            </w:r>
          </w:p>
        </w:tc>
        <w:tc>
          <w:tcPr>
            <w:tcW w:w="3579"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护目镜可见光透过率</w:t>
            </w:r>
          </w:p>
        </w:tc>
        <w:tc>
          <w:tcPr>
            <w:tcW w:w="3476"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GB 811-2022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5</w:t>
            </w:r>
          </w:p>
        </w:tc>
        <w:tc>
          <w:tcPr>
            <w:tcW w:w="3579"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标志</w:t>
            </w:r>
          </w:p>
        </w:tc>
        <w:tc>
          <w:tcPr>
            <w:tcW w:w="3476" w:type="dxa"/>
            <w:noWrap w:val="0"/>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GB 811-2022</w:t>
            </w:r>
          </w:p>
        </w:tc>
      </w:tr>
    </w:tbl>
    <w:p>
      <w:pPr>
        <w:adjustRightInd w:val="0"/>
        <w:snapToGrid w:val="0"/>
        <w:spacing w:beforeLines="0" w:afterLines="0" w:line="440" w:lineRule="exact"/>
        <w:ind w:firstLine="420" w:firstLineChars="200"/>
        <w:jc w:val="center"/>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表2 </w:t>
      </w:r>
      <w:r>
        <w:rPr>
          <w:rFonts w:hint="eastAsia" w:ascii="宋体" w:hAnsi="宋体" w:eastAsia="宋体" w:cs="Times New Roman"/>
          <w:sz w:val="21"/>
          <w:szCs w:val="24"/>
          <w:lang w:val="en-US" w:eastAsia="zh-CN"/>
        </w:rPr>
        <w:t>摩托车乘员头盔</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执行企业标准、团体标准、地方标准的产品，检验项目参照上述内容执行。</w:t>
      </w:r>
    </w:p>
    <w:p>
      <w:pPr>
        <w:snapToGrid w:val="0"/>
        <w:spacing w:beforeLines="0" w:afterLines="0" w:line="440" w:lineRule="exact"/>
        <w:rPr>
          <w:rFonts w:hint="default" w:ascii="黑体" w:hAnsi="黑体" w:eastAsia="黑体" w:cs="Times New Roman"/>
          <w:sz w:val="21"/>
          <w:szCs w:val="24"/>
          <w:lang w:val="en-US" w:eastAsia="zh-CN"/>
        </w:rPr>
      </w:pPr>
      <w:r>
        <w:rPr>
          <w:rFonts w:hint="default" w:ascii="黑体" w:hAnsi="黑体" w:eastAsia="黑体" w:cs="Times New Roman"/>
          <w:sz w:val="21"/>
          <w:szCs w:val="24"/>
          <w:lang w:val="en-US" w:eastAsia="zh-CN"/>
        </w:rPr>
        <w:t>3 判定规则</w:t>
      </w:r>
    </w:p>
    <w:p>
      <w:pPr>
        <w:snapToGrid w:val="0"/>
        <w:spacing w:beforeLines="0" w:afterLines="0" w:line="440" w:lineRule="exact"/>
        <w:rPr>
          <w:rFonts w:hint="default" w:ascii="宋体" w:hAnsi="宋体" w:eastAsia="宋体" w:cs="Times New Roman"/>
          <w:color w:val="000000"/>
          <w:sz w:val="21"/>
          <w:szCs w:val="24"/>
          <w:lang w:val="en-US" w:eastAsia="zh-CN"/>
        </w:rPr>
      </w:pPr>
      <w:r>
        <w:rPr>
          <w:rFonts w:hint="default" w:ascii="宋体" w:hAnsi="宋体" w:eastAsia="宋体" w:cs="Times New Roman"/>
          <w:color w:val="000000"/>
          <w:sz w:val="21"/>
          <w:szCs w:val="24"/>
          <w:lang w:val="en-US" w:eastAsia="zh-CN"/>
        </w:rPr>
        <w:t>3.1依据标准</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GB 811-2022</w:t>
      </w:r>
      <w:r>
        <w:rPr>
          <w:rFonts w:hint="default" w:ascii="宋体" w:hAnsi="宋体" w:eastAsia="宋体" w:cs="宋体"/>
          <w:sz w:val="21"/>
          <w:szCs w:val="21"/>
          <w:lang w:val="en-US" w:eastAsia="zh-CN"/>
        </w:rPr>
        <w:t>摩托车、电动自行车乘员头盔</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现行有效的企业标准、团体标准、地方标准及产品明示质量要求</w:t>
      </w:r>
    </w:p>
    <w:p>
      <w:pPr>
        <w:snapToGrid w:val="0"/>
        <w:spacing w:beforeLines="0" w:afterLines="0" w:line="440" w:lineRule="exact"/>
        <w:rPr>
          <w:rFonts w:hint="default" w:ascii="宋体" w:hAnsi="宋体" w:eastAsia="宋体" w:cs="Times New Roman"/>
          <w:color w:val="000000"/>
          <w:sz w:val="21"/>
          <w:szCs w:val="24"/>
          <w:lang w:val="en-US" w:eastAsia="zh-CN"/>
        </w:rPr>
      </w:pPr>
      <w:r>
        <w:rPr>
          <w:rFonts w:hint="default" w:ascii="宋体" w:hAnsi="宋体" w:eastAsia="宋体" w:cs="Times New Roman"/>
          <w:color w:val="000000"/>
          <w:sz w:val="21"/>
          <w:szCs w:val="24"/>
          <w:lang w:val="en-US" w:eastAsia="zh-CN"/>
        </w:rPr>
        <w:t>3.2判定原则</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若被检产品明示的质量要求高于本细则中检验项目依据的标准要求时，应按被检产品明示的质量要求判定。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若被检产品明示的质量要求低于本细则中检验项目依据的强制性标准要求时，应按照强制性标准要求判定。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若被检产品明示的质量要求缺少本细则中检验项目依据的强制性标准要求时，应按照强制性标准要求判定。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仿宋" w:hAnsi="仿宋" w:eastAsia="仿宋" w:cs="仿宋"/>
          <w:sz w:val="32"/>
          <w:szCs w:val="32"/>
          <w:highlight w:val="none"/>
        </w:rPr>
      </w:pPr>
    </w:p>
    <w:sectPr>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YTExOTI3ZGJhYmUxZWY5OTFjNzM4MDYyZGIyZD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1347A59"/>
    <w:rsid w:val="01583748"/>
    <w:rsid w:val="05E72587"/>
    <w:rsid w:val="07280338"/>
    <w:rsid w:val="0BD31F12"/>
    <w:rsid w:val="0FB56AC3"/>
    <w:rsid w:val="19596F42"/>
    <w:rsid w:val="1C4F4D4F"/>
    <w:rsid w:val="1DC721AF"/>
    <w:rsid w:val="273745E2"/>
    <w:rsid w:val="2C803B90"/>
    <w:rsid w:val="2F676922"/>
    <w:rsid w:val="3199108F"/>
    <w:rsid w:val="32867865"/>
    <w:rsid w:val="346927CE"/>
    <w:rsid w:val="361419AF"/>
    <w:rsid w:val="3D3433C6"/>
    <w:rsid w:val="3DE84D67"/>
    <w:rsid w:val="3E3068D7"/>
    <w:rsid w:val="3FA90D4C"/>
    <w:rsid w:val="466435C2"/>
    <w:rsid w:val="48482AF2"/>
    <w:rsid w:val="4D8A6527"/>
    <w:rsid w:val="50914F2B"/>
    <w:rsid w:val="57B161EC"/>
    <w:rsid w:val="5F4B13C3"/>
    <w:rsid w:val="605817D3"/>
    <w:rsid w:val="6DC522E8"/>
    <w:rsid w:val="6DE114C9"/>
    <w:rsid w:val="76984A3E"/>
    <w:rsid w:val="78FE27F1"/>
    <w:rsid w:val="791D05B3"/>
    <w:rsid w:val="F7FD203B"/>
    <w:rsid w:val="FFF81FB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unhideWhenUsed/>
    <w:qFormat/>
    <w:uiPriority w:val="99"/>
    <w:pPr>
      <w:widowControl w:val="0"/>
      <w:jc w:val="both"/>
    </w:pPr>
    <w:rPr>
      <w:rFonts w:ascii="宋体" w:hAnsi="宋体" w:eastAsia="宋体" w:cs="宋体"/>
      <w:kern w:val="2"/>
      <w:sz w:val="18"/>
      <w:szCs w:val="18"/>
      <w:lang w:val="en-US" w:eastAsia="zh-CN" w:bidi="ar-SA"/>
    </w:rPr>
  </w:style>
  <w:style w:type="paragraph" w:styleId="3">
    <w:name w:val="Balloon Text"/>
    <w:basedOn w:val="1"/>
    <w:link w:val="10"/>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cs="Times New Roman"/>
    </w:rPr>
  </w:style>
  <w:style w:type="character" w:customStyle="1" w:styleId="10">
    <w:name w:val="Balloon Text Char"/>
    <w:basedOn w:val="8"/>
    <w:link w:val="3"/>
    <w:semiHidden/>
    <w:qFormat/>
    <w:locked/>
    <w:uiPriority w:val="99"/>
    <w:rPr>
      <w:rFonts w:ascii="Times New Roman" w:hAnsi="Times New Roman" w:cs="Times New Roman"/>
      <w:kern w:val="2"/>
      <w:sz w:val="18"/>
      <w:szCs w:val="18"/>
    </w:rPr>
  </w:style>
  <w:style w:type="character" w:customStyle="1" w:styleId="11">
    <w:name w:val="Footer Char"/>
    <w:basedOn w:val="8"/>
    <w:link w:val="4"/>
    <w:semiHidden/>
    <w:qFormat/>
    <w:locked/>
    <w:uiPriority w:val="99"/>
    <w:rPr>
      <w:rFonts w:ascii="Times New Roman" w:hAnsi="Times New Roman" w:cs="Times New Roman"/>
      <w:sz w:val="18"/>
      <w:szCs w:val="18"/>
    </w:rPr>
  </w:style>
  <w:style w:type="character" w:customStyle="1" w:styleId="12">
    <w:name w:val="Header Char"/>
    <w:basedOn w:val="8"/>
    <w:link w:val="5"/>
    <w:qFormat/>
    <w:locked/>
    <w:uiPriority w:val="99"/>
    <w:rPr>
      <w:rFonts w:ascii="Times New Roman" w:hAnsi="Times New Roman" w:eastAsia="宋体" w:cs="Times New Roman"/>
      <w:kern w:val="2"/>
      <w:sz w:val="18"/>
      <w:szCs w:val="18"/>
    </w:rPr>
  </w:style>
  <w:style w:type="paragraph" w:customStyle="1" w:styleId="13">
    <w:name w:val="表格内容"/>
    <w:basedOn w:val="1"/>
    <w:qFormat/>
    <w:uiPriority w:val="99"/>
    <w:pPr>
      <w:snapToGrid w:val="0"/>
      <w:spacing w:line="320" w:lineRule="exact"/>
      <w:jc w:val="center"/>
    </w:pPr>
    <w:rPr>
      <w:rFonts w:ascii="仿宋_GB2312" w:hAnsi="Calibri" w:eastAsia="仿宋_GB2312" w:cs="Sim Su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Kingsoft</Company>
  <Pages>2</Pages>
  <Words>592</Words>
  <Characters>647</Characters>
  <Lines>0</Lines>
  <Paragraphs>0</Paragraphs>
  <TotalTime>0</TotalTime>
  <ScaleCrop>false</ScaleCrop>
  <LinksUpToDate>false</LinksUpToDate>
  <CharactersWithSpaces>658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2021-11-12T01:50:00Z</dcterms:created>
  <dc:creator>陈林茂</dc:creator>
  <cp:lastModifiedBy>user</cp:lastModifiedBy>
  <dcterms:modified xsi:type="dcterms:W3CDTF">2024-08-30T15:28:40Z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F27D2AFF03BA41C2AADED25763077976</vt:lpwstr>
  </property>
</Properties>
</file>