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olor w:val="000000"/>
          <w:sz w:val="28"/>
          <w:szCs w:val="28"/>
        </w:rPr>
        <w:t xml:space="preserve">GZCCXZ </w:t>
      </w:r>
      <w:r>
        <w:rPr>
          <w:rFonts w:hint="eastAsia" w:ascii="黑体" w:hAnsi="宋体" w:eastAsia="黑体"/>
          <w:color w:val="000000"/>
          <w:sz w:val="28"/>
          <w:szCs w:val="28"/>
          <w:lang w:val="en-US" w:eastAsia="zh-CN"/>
        </w:rPr>
        <w:t>30</w:t>
      </w:r>
      <w:r>
        <w:rPr>
          <w:rFonts w:hint="eastAsia" w:ascii="黑体" w:hAnsi="宋体" w:eastAsia="黑体"/>
          <w:color w:val="000000"/>
          <w:sz w:val="28"/>
          <w:szCs w:val="28"/>
        </w:rPr>
        <w:t>-2024</w:t>
      </w:r>
      <w:r>
        <w:rPr>
          <w:rFonts w:ascii="宋体" w:hAnsi="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color w:val="000000"/>
          <w:spacing w:val="0"/>
          <w:w w:val="100"/>
          <w:sz w:val="44"/>
          <w:szCs w:val="44"/>
          <w:highlight w:val="yellow"/>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pStyle w:val="2"/>
        <w:rPr>
          <w:rFonts w:hint="eastAsia"/>
          <w:spacing w:val="0"/>
          <w:w w:val="100"/>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default"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消防应急照明和疏散指示系统</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color w:val="000000"/>
          <w:spacing w:val="0"/>
          <w:w w:val="100"/>
          <w:sz w:val="44"/>
          <w:szCs w:val="44"/>
        </w:rPr>
      </w:pPr>
    </w:p>
    <w:p>
      <w:pPr>
        <w:pStyle w:val="2"/>
      </w:pPr>
    </w:p>
    <w:p>
      <w:pPr>
        <w:pStyle w:val="2"/>
      </w:pPr>
    </w:p>
    <w:p>
      <w:pPr>
        <w:jc w:val="both"/>
        <w:rPr>
          <w:rFonts w:hint="eastAsia"/>
          <w:color w:val="000000"/>
          <w:spacing w:val="0"/>
          <w:w w:val="100"/>
          <w:sz w:val="44"/>
          <w:szCs w:val="44"/>
        </w:rPr>
      </w:pPr>
    </w:p>
    <w:p>
      <w:pPr>
        <w:jc w:val="both"/>
        <w:rPr>
          <w:rFonts w:hint="eastAsia"/>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方正小标宋_GBK" w:hAnsi="方正小标宋_GBK" w:eastAsia="黑体" w:cs="方正小标宋_GBK"/>
          <w:sz w:val="32"/>
          <w:szCs w:val="32"/>
          <w:lang w:eastAsia="zh-CN"/>
        </w:rPr>
      </w:pPr>
      <w:r>
        <w:rPr>
          <w:rFonts w:hint="eastAsia" w:ascii="黑体" w:hAnsi="黑体" w:eastAsia="黑体" w:cs="黑体"/>
          <w:b/>
          <w:bCs/>
          <w:sz w:val="32"/>
          <w:szCs w:val="32"/>
          <w:lang w:val="en-US" w:eastAsia="zh-CN"/>
        </w:rPr>
        <w:t>消防应急照明和疏散指示系统</w:t>
      </w:r>
      <w:r>
        <w:rPr>
          <w:rFonts w:hint="eastAsia" w:ascii="黑体" w:hAnsi="黑体" w:eastAsia="黑体" w:cs="黑体"/>
          <w:b/>
          <w:bCs/>
          <w:sz w:val="32"/>
          <w:szCs w:val="32"/>
        </w:rPr>
        <w:t>产品质量监督抽查实施细则</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2024</w:t>
      </w:r>
      <w:r>
        <w:rPr>
          <w:rFonts w:hint="eastAsia" w:ascii="黑体" w:hAnsi="黑体" w:eastAsia="黑体" w:cs="黑体"/>
          <w:b/>
          <w:bCs/>
          <w:sz w:val="32"/>
          <w:szCs w:val="32"/>
          <w:lang w:eastAsia="zh-CN"/>
        </w:rPr>
        <w:t>）</w:t>
      </w:r>
    </w:p>
    <w:p>
      <w:pPr>
        <w:adjustRightInd w:val="0"/>
        <w:snapToGrid w:val="0"/>
        <w:spacing w:line="360" w:lineRule="auto"/>
        <w:ind w:firstLine="481" w:firstLineChars="200"/>
        <w:rPr>
          <w:rFonts w:hint="eastAsia" w:ascii="宋体" w:hAnsi="宋体"/>
          <w:b/>
          <w:bCs/>
          <w:sz w:val="24"/>
        </w:rPr>
      </w:pPr>
    </w:p>
    <w:p>
      <w:pPr>
        <w:adjustRightInd w:val="0"/>
        <w:snapToGrid w:val="0"/>
        <w:spacing w:line="360" w:lineRule="auto"/>
        <w:rPr>
          <w:rFonts w:hint="eastAsia" w:ascii="黑体" w:hAnsi="黑体" w:eastAsia="黑体" w:cs="黑体"/>
          <w:b/>
          <w:bCs/>
          <w:sz w:val="21"/>
          <w:szCs w:val="21"/>
        </w:rPr>
      </w:pPr>
      <w:r>
        <w:rPr>
          <w:rFonts w:hint="eastAsia" w:ascii="黑体" w:hAnsi="黑体" w:eastAsia="黑体" w:cs="黑体"/>
          <w:b/>
          <w:bCs/>
          <w:sz w:val="21"/>
          <w:szCs w:val="21"/>
        </w:rPr>
        <w:t>1.范围</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本细则适用</w:t>
      </w:r>
      <w:r>
        <w:rPr>
          <w:rFonts w:hint="eastAsia" w:ascii="宋体" w:hAnsi="宋体" w:cs="宋体"/>
          <w:sz w:val="21"/>
          <w:szCs w:val="21"/>
          <w:lang w:val="en-US" w:eastAsia="zh-CN"/>
        </w:rPr>
        <w:t>赣州</w:t>
      </w:r>
      <w:r>
        <w:rPr>
          <w:rFonts w:hint="eastAsia" w:ascii="宋体" w:hAnsi="宋体" w:eastAsia="宋体" w:cs="宋体"/>
          <w:sz w:val="21"/>
          <w:szCs w:val="21"/>
          <w:lang w:val="en-US" w:eastAsia="zh-CN"/>
        </w:rPr>
        <w:t>市</w:t>
      </w:r>
      <w:r>
        <w:rPr>
          <w:rFonts w:hint="eastAsia" w:ascii="宋体" w:hAnsi="宋体" w:eastAsia="宋体" w:cs="宋体"/>
          <w:sz w:val="21"/>
          <w:szCs w:val="21"/>
        </w:rPr>
        <w:t>市场监督管理局组织的</w:t>
      </w:r>
      <w:r>
        <w:rPr>
          <w:rFonts w:hint="eastAsia" w:ascii="宋体" w:hAnsi="宋体" w:cs="宋体"/>
          <w:sz w:val="21"/>
          <w:szCs w:val="21"/>
          <w:lang w:val="en-US" w:eastAsia="zh-CN"/>
        </w:rPr>
        <w:t>消防应急照明和疏散指示系统</w:t>
      </w:r>
      <w:r>
        <w:rPr>
          <w:rFonts w:hint="eastAsia" w:ascii="宋体" w:hAnsi="宋体" w:eastAsia="宋体" w:cs="宋体"/>
          <w:sz w:val="21"/>
          <w:szCs w:val="21"/>
        </w:rPr>
        <w:t>产品质量监督抽查。抽查产品范围包括</w:t>
      </w:r>
      <w:r>
        <w:rPr>
          <w:rFonts w:hint="eastAsia" w:ascii="宋体" w:hAnsi="宋体" w:cs="宋体"/>
          <w:sz w:val="21"/>
          <w:szCs w:val="21"/>
          <w:lang w:eastAsia="zh-CN"/>
        </w:rPr>
        <w:t>：</w:t>
      </w:r>
      <w:r>
        <w:rPr>
          <w:rFonts w:hint="eastAsia" w:ascii="宋体" w:hAnsi="宋体" w:cs="宋体"/>
          <w:sz w:val="21"/>
          <w:szCs w:val="21"/>
          <w:lang w:val="en-US" w:eastAsia="zh-CN"/>
        </w:rPr>
        <w:t>消防应急照明和疏散指示系统等相关</w:t>
      </w:r>
      <w:r>
        <w:rPr>
          <w:rFonts w:hint="eastAsia" w:ascii="宋体" w:hAnsi="宋体" w:eastAsia="宋体" w:cs="宋体"/>
          <w:sz w:val="21"/>
          <w:szCs w:val="21"/>
        </w:rPr>
        <w:t>产品。</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本细则包括抽样</w:t>
      </w:r>
      <w:r>
        <w:rPr>
          <w:rFonts w:hint="eastAsia" w:ascii="宋体" w:hAnsi="宋体" w:cs="宋体"/>
          <w:sz w:val="21"/>
          <w:szCs w:val="21"/>
          <w:lang w:eastAsia="zh-CN"/>
        </w:rPr>
        <w:t>方法</w:t>
      </w:r>
      <w:r>
        <w:rPr>
          <w:rFonts w:hint="eastAsia" w:ascii="宋体" w:hAnsi="宋体" w:eastAsia="宋体" w:cs="宋体"/>
          <w:sz w:val="21"/>
          <w:szCs w:val="21"/>
        </w:rPr>
        <w:t>、检验</w:t>
      </w:r>
      <w:r>
        <w:rPr>
          <w:rFonts w:hint="eastAsia" w:ascii="宋体" w:hAnsi="宋体" w:cs="宋体"/>
          <w:sz w:val="21"/>
          <w:szCs w:val="21"/>
          <w:lang w:eastAsia="zh-CN"/>
        </w:rPr>
        <w:t>依据</w:t>
      </w:r>
      <w:r>
        <w:rPr>
          <w:rFonts w:hint="eastAsia" w:ascii="宋体" w:hAnsi="宋体" w:eastAsia="宋体" w:cs="宋体"/>
          <w:sz w:val="21"/>
          <w:szCs w:val="21"/>
        </w:rPr>
        <w:t>、判定</w:t>
      </w:r>
      <w:r>
        <w:rPr>
          <w:rFonts w:hint="eastAsia" w:ascii="宋体" w:hAnsi="宋体" w:cs="宋体"/>
          <w:sz w:val="21"/>
          <w:szCs w:val="21"/>
          <w:lang w:eastAsia="zh-CN"/>
        </w:rPr>
        <w:t>规则</w:t>
      </w:r>
      <w:r>
        <w:rPr>
          <w:rFonts w:hint="eastAsia" w:ascii="宋体" w:hAnsi="宋体" w:eastAsia="宋体" w:cs="宋体"/>
          <w:sz w:val="21"/>
          <w:szCs w:val="21"/>
        </w:rPr>
        <w:t>、异议处理等。</w:t>
      </w:r>
    </w:p>
    <w:p>
      <w:pPr>
        <w:snapToGrid w:val="0"/>
        <w:spacing w:beforeLines="0" w:afterLines="0" w:line="440" w:lineRule="exact"/>
        <w:rPr>
          <w:rFonts w:hint="eastAsia" w:ascii="黑体" w:hAnsi="黑体" w:eastAsia="黑体"/>
          <w:sz w:val="21"/>
        </w:rPr>
      </w:pPr>
      <w:r>
        <w:rPr>
          <w:rFonts w:hint="eastAsia" w:ascii="黑体" w:hAnsi="黑体" w:eastAsia="黑体"/>
          <w:sz w:val="21"/>
        </w:rPr>
        <w:t>1 抽样方法</w:t>
      </w:r>
    </w:p>
    <w:p>
      <w:pPr>
        <w:snapToGrid w:val="0"/>
        <w:spacing w:beforeLines="0" w:afterLines="0" w:line="440" w:lineRule="exact"/>
        <w:rPr>
          <w:rFonts w:hint="eastAsia" w:ascii="黑体" w:hAnsi="黑体" w:eastAsia="黑体"/>
          <w:sz w:val="21"/>
        </w:rPr>
      </w:pPr>
      <w:r>
        <w:rPr>
          <w:rFonts w:hint="eastAsia" w:ascii="黑体" w:hAnsi="黑体" w:eastAsia="黑体"/>
          <w:sz w:val="21"/>
        </w:rPr>
        <w:t>以随机抽样的方式在被抽样生产者、销售者的待销产品中抽取。</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rPr>
        <w:t>以随机抽样的方式</w:t>
      </w:r>
      <w:r>
        <w:rPr>
          <w:rFonts w:hint="eastAsia" w:ascii="黑体" w:hAnsi="黑体" w:eastAsia="黑体"/>
          <w:sz w:val="21"/>
          <w:lang w:eastAsia="zh-CN"/>
        </w:rPr>
        <w:t>抽取检验样品和备用样品</w:t>
      </w:r>
      <w:r>
        <w:rPr>
          <w:rFonts w:hint="eastAsia" w:ascii="黑体" w:hAnsi="黑体" w:eastAsia="黑体"/>
          <w:sz w:val="21"/>
          <w:lang w:val="en-US" w:eastAsia="zh-CN"/>
        </w:rPr>
        <w:t>。</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lang w:eastAsia="zh-CN"/>
        </w:rPr>
        <w:t>每批次产品抽取样品</w:t>
      </w:r>
      <w:r>
        <w:rPr>
          <w:rFonts w:hint="eastAsia" w:ascii="黑体" w:hAnsi="黑体" w:eastAsia="黑体"/>
          <w:sz w:val="21"/>
          <w:lang w:val="en-US" w:eastAsia="zh-CN"/>
        </w:rPr>
        <w:t>4个</w:t>
      </w:r>
      <w:r>
        <w:rPr>
          <w:rFonts w:hint="eastAsia" w:ascii="黑体" w:hAnsi="黑体" w:eastAsia="黑体"/>
          <w:sz w:val="21"/>
          <w:lang w:eastAsia="zh-CN"/>
        </w:rPr>
        <w:t>，其中</w:t>
      </w:r>
      <w:r>
        <w:rPr>
          <w:rFonts w:hint="eastAsia" w:ascii="黑体" w:hAnsi="黑体" w:eastAsia="黑体"/>
          <w:sz w:val="21"/>
          <w:lang w:val="en-US" w:eastAsia="zh-CN"/>
        </w:rPr>
        <w:t>2个</w:t>
      </w:r>
      <w:r>
        <w:rPr>
          <w:rFonts w:hint="eastAsia" w:ascii="黑体" w:hAnsi="黑体" w:eastAsia="黑体"/>
          <w:sz w:val="21"/>
          <w:lang w:eastAsia="zh-CN"/>
        </w:rPr>
        <w:t>作为检验样品，</w:t>
      </w:r>
      <w:r>
        <w:rPr>
          <w:rFonts w:hint="eastAsia" w:ascii="黑体" w:hAnsi="黑体" w:eastAsia="黑体"/>
          <w:sz w:val="21"/>
          <w:lang w:val="en-US" w:eastAsia="zh-CN"/>
        </w:rPr>
        <w:t>2个</w:t>
      </w:r>
      <w:r>
        <w:rPr>
          <w:rFonts w:hint="eastAsia" w:ascii="黑体" w:hAnsi="黑体" w:eastAsia="黑体"/>
          <w:sz w:val="21"/>
          <w:lang w:eastAsia="zh-CN"/>
        </w:rPr>
        <w:t>作为备用样品。</w:t>
      </w:r>
    </w:p>
    <w:p>
      <w:pPr>
        <w:snapToGrid w:val="0"/>
        <w:spacing w:beforeLines="0" w:afterLines="0" w:line="440" w:lineRule="exact"/>
        <w:rPr>
          <w:rFonts w:hint="eastAsia" w:ascii="黑体" w:hAnsi="黑体" w:eastAsia="黑体"/>
          <w:sz w:val="21"/>
        </w:rPr>
      </w:pPr>
      <w:r>
        <w:rPr>
          <w:rFonts w:hint="eastAsia" w:ascii="黑体" w:hAnsi="黑体" w:eastAsia="黑体"/>
          <w:sz w:val="21"/>
        </w:rPr>
        <w:t>2 检验依据</w:t>
      </w:r>
    </w:p>
    <w:tbl>
      <w:tblPr>
        <w:tblStyle w:val="8"/>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1</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标志</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2</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应急转换时间</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3</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应急工作时间</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4</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重复转换试验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5</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电压波动试验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6</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转换电压试验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7</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绝缘电阻试验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8</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耐压试验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9</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转换电压试验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10</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高温试验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17945-2010</w:t>
            </w:r>
          </w:p>
        </w:tc>
      </w:tr>
    </w:tbl>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表</w:t>
      </w:r>
      <w:r>
        <w:rPr>
          <w:rFonts w:hint="eastAsia" w:ascii="宋体" w:hAnsi="宋体" w:eastAsia="宋体"/>
          <w:sz w:val="21"/>
          <w:lang w:val="en-US" w:eastAsia="zh-CN"/>
        </w:rPr>
        <w:t>1 消防应急照明和疏散指示系统检验</w:t>
      </w:r>
      <w:r>
        <w:rPr>
          <w:rFonts w:hint="eastAsia" w:ascii="宋体" w:hAnsi="宋体" w:eastAsia="宋体"/>
          <w:sz w:val="21"/>
        </w:rPr>
        <w:t>项目</w:t>
      </w:r>
    </w:p>
    <w:p>
      <w:pPr>
        <w:adjustRightInd w:val="0"/>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执行企业标准、团体标准、地方标准的产品，检验项目参照上述内容执行。</w:t>
      </w:r>
    </w:p>
    <w:p>
      <w:pPr>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凡是注日期的文件，其随后所有的修改单（不包括勘误的内容）或修订版不适用于本细则。凡是不注日期的文件，其最新版本适用于本细则。</w:t>
      </w:r>
    </w:p>
    <w:p>
      <w:pPr>
        <w:snapToGrid w:val="0"/>
        <w:spacing w:beforeLines="0" w:afterLines="0" w:line="440" w:lineRule="exact"/>
        <w:ind w:firstLine="420" w:firstLineChars="200"/>
        <w:rPr>
          <w:rFonts w:hint="eastAsia" w:ascii="宋体" w:hAnsi="宋体" w:eastAsia="宋体"/>
          <w:sz w:val="21"/>
        </w:rPr>
      </w:pPr>
    </w:p>
    <w:p>
      <w:pPr>
        <w:spacing w:beforeLines="0" w:afterLines="0" w:line="440" w:lineRule="exact"/>
        <w:rPr>
          <w:rFonts w:hint="eastAsia" w:ascii="黑体" w:hAnsi="黑体" w:eastAsia="黑体"/>
          <w:sz w:val="21"/>
        </w:rPr>
      </w:pPr>
      <w:r>
        <w:rPr>
          <w:rFonts w:hint="eastAsia" w:ascii="黑体" w:hAnsi="黑体" w:eastAsia="黑体"/>
          <w:sz w:val="21"/>
        </w:rPr>
        <w:t>3 判定规则</w:t>
      </w:r>
    </w:p>
    <w:p>
      <w:pPr>
        <w:snapToGrid w:val="0"/>
        <w:spacing w:beforeLines="0" w:afterLines="0" w:line="440" w:lineRule="exact"/>
        <w:rPr>
          <w:rFonts w:hint="eastAsia" w:ascii="宋体" w:hAnsi="宋体" w:eastAsia="宋体"/>
          <w:sz w:val="21"/>
        </w:rPr>
      </w:pPr>
      <w:r>
        <w:rPr>
          <w:rFonts w:hint="eastAsia" w:ascii="宋体" w:hAnsi="宋体" w:eastAsia="宋体"/>
          <w:sz w:val="21"/>
        </w:rPr>
        <w:t xml:space="preserve">3.1依据标准 </w:t>
      </w:r>
    </w:p>
    <w:p>
      <w:pPr>
        <w:spacing w:beforeLines="0" w:afterLines="0" w:line="440" w:lineRule="exact"/>
        <w:ind w:firstLine="420" w:firstLineChars="200"/>
        <w:rPr>
          <w:rFonts w:hint="eastAsia" w:ascii="宋体" w:hAnsi="宋体" w:eastAsia="宋体"/>
          <w:color w:val="000000"/>
          <w:sz w:val="21"/>
          <w:lang w:val="en-US" w:eastAsia="zh-CN"/>
        </w:rPr>
      </w:pPr>
      <w:r>
        <w:rPr>
          <w:rFonts w:hint="eastAsia" w:ascii="宋体" w:hAnsi="宋体" w:eastAsia="宋体"/>
          <w:color w:val="000000"/>
          <w:sz w:val="21"/>
          <w:lang w:val="en-US" w:eastAsia="zh-CN"/>
        </w:rPr>
        <w:t>GB 17945-2010  消防应急照明和疏散指示系统</w:t>
      </w:r>
    </w:p>
    <w:p>
      <w:pPr>
        <w:spacing w:beforeLines="0" w:afterLines="0" w:line="440" w:lineRule="exact"/>
        <w:ind w:firstLine="420" w:firstLineChars="200"/>
        <w:rPr>
          <w:rFonts w:hint="eastAsia" w:ascii="宋体" w:hAnsi="宋体" w:eastAsia="宋体"/>
          <w:strike/>
          <w:color w:val="000000"/>
          <w:sz w:val="21"/>
        </w:rPr>
      </w:pPr>
      <w:r>
        <w:rPr>
          <w:rFonts w:hint="eastAsia" w:ascii="宋体" w:hAnsi="宋体" w:eastAsia="宋体"/>
          <w:color w:val="000000"/>
          <w:sz w:val="21"/>
        </w:rPr>
        <w:t>现行有效的企业标准、团体标准、地方标准及产品明示质量要求</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rPr>
        <w:t>3.2判定原则</w:t>
      </w:r>
    </w:p>
    <w:p>
      <w:pPr>
        <w:snapToGrid w:val="0"/>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经检验，检验项目全部合格，判定为被抽查产品所检项目未发现不合格；检验项目中任一项或一项以上不合格，判定为被抽查产品不合格。</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若被检产品明示的质量要求高于本细则中检验项目依据的标准要求时，应按被检产品明示的质量要求判定。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若被检产品明示的质量要求低于或包含本细则中检验项目依据的推荐性标准要求时，应以被检产品明示的质量要求判定。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若被检产品明示的质量要求缺少本细则中检验项目依据的推荐性标准要求时，该项目不参与判定。</w:t>
      </w:r>
    </w:p>
    <w:p>
      <w:pPr>
        <w:spacing w:beforeLines="0" w:afterLines="0" w:line="440" w:lineRule="exact"/>
        <w:rPr>
          <w:rFonts w:hint="eastAsia" w:ascii="黑体" w:hAnsi="黑体" w:eastAsia="黑体"/>
          <w:sz w:val="21"/>
        </w:rPr>
      </w:pPr>
      <w:r>
        <w:rPr>
          <w:rFonts w:hint="eastAsia" w:ascii="黑体" w:hAnsi="黑体" w:eastAsia="黑体"/>
          <w:sz w:val="21"/>
          <w:lang w:val="en-US" w:eastAsia="zh-CN"/>
        </w:rPr>
        <w:t>4</w:t>
      </w:r>
      <w:r>
        <w:rPr>
          <w:rFonts w:hint="eastAsia" w:ascii="黑体" w:hAnsi="黑体" w:eastAsia="黑体"/>
          <w:sz w:val="21"/>
        </w:rPr>
        <w:t xml:space="preserve"> 异议处理</w:t>
      </w:r>
    </w:p>
    <w:p>
      <w:pPr>
        <w:snapToGrid w:val="0"/>
        <w:spacing w:beforeLines="0" w:afterLines="0" w:line="440" w:lineRule="exact"/>
        <w:rPr>
          <w:rFonts w:hint="eastAsia" w:ascii="宋体" w:hAnsi="宋体" w:eastAsia="宋体"/>
          <w:sz w:val="21"/>
          <w:lang w:val="en-US" w:eastAsia="zh-CN"/>
        </w:rPr>
      </w:pPr>
      <w:r>
        <w:rPr>
          <w:rFonts w:hint="eastAsia" w:ascii="宋体" w:hAnsi="宋体" w:eastAsia="宋体"/>
          <w:sz w:val="21"/>
          <w:lang w:val="en-US" w:eastAsia="zh-CN"/>
        </w:rPr>
        <w:t>4.1 复查</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被抽样生产者、销售者对抽样过程、样品真实性等有异议的，收到异议处理申请的</w:t>
      </w:r>
      <w:r>
        <w:rPr>
          <w:rFonts w:hint="eastAsia" w:ascii="宋体" w:hAnsi="宋体" w:eastAsia="宋体"/>
          <w:color w:val="000000"/>
          <w:sz w:val="21"/>
          <w:lang w:val="en-US" w:eastAsia="zh-CN"/>
        </w:rPr>
        <w:t>赣州市</w:t>
      </w:r>
      <w:r>
        <w:rPr>
          <w:rFonts w:hint="eastAsia" w:ascii="宋体" w:hAnsi="宋体" w:eastAsia="宋体"/>
          <w:color w:val="000000"/>
          <w:sz w:val="21"/>
        </w:rPr>
        <w:t>市场监督管理局组织异议处理，并将处理结论书面告知申请人。</w:t>
      </w:r>
    </w:p>
    <w:p>
      <w:pPr>
        <w:snapToGrid w:val="0"/>
        <w:spacing w:beforeLines="0" w:afterLines="0" w:line="440" w:lineRule="exact"/>
        <w:rPr>
          <w:rFonts w:hint="eastAsia" w:ascii="宋体" w:hAnsi="宋体" w:eastAsia="宋体"/>
          <w:sz w:val="21"/>
          <w:lang w:val="en-US" w:eastAsia="zh-CN"/>
        </w:rPr>
      </w:pPr>
      <w:bookmarkStart w:id="1" w:name="_GoBack"/>
      <w:r>
        <w:rPr>
          <w:rFonts w:hint="eastAsia" w:ascii="宋体" w:hAnsi="宋体" w:eastAsia="宋体"/>
          <w:sz w:val="21"/>
          <w:lang w:val="en-US" w:eastAsia="zh-CN"/>
        </w:rPr>
        <w:t>4.2 复检</w:t>
      </w:r>
    </w:p>
    <w:bookmarkEnd w:id="1"/>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.2.1被抽样销售者对检验结论有异议的，应当自收到检验结论书面告知之日起十五日内向</w:t>
      </w:r>
      <w:r>
        <w:rPr>
          <w:rFonts w:hint="eastAsia" w:ascii="宋体" w:hAnsi="宋体"/>
          <w:color w:val="000000"/>
          <w:sz w:val="21"/>
          <w:lang w:eastAsia="zh-CN"/>
        </w:rPr>
        <w:t>赣州</w:t>
      </w:r>
      <w:r>
        <w:rPr>
          <w:rFonts w:hint="eastAsia" w:ascii="宋体" w:hAnsi="宋体" w:eastAsia="宋体"/>
          <w:color w:val="000000"/>
          <w:sz w:val="21"/>
        </w:rPr>
        <w:t>市市场监督管理局提出书面异议处理申请，并提交相关材料。</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.2.2 被抽样销售者对检验结论有异议，提出书面复检申请并阐明理由的，收到异议处理申请经</w:t>
      </w:r>
      <w:r>
        <w:rPr>
          <w:rFonts w:hint="eastAsia" w:ascii="宋体" w:hAnsi="宋体"/>
          <w:color w:val="000000"/>
          <w:sz w:val="21"/>
          <w:lang w:eastAsia="zh-CN"/>
        </w:rPr>
        <w:t>赣州</w:t>
      </w:r>
      <w:r>
        <w:rPr>
          <w:rFonts w:hint="eastAsia" w:ascii="宋体" w:hAnsi="宋体" w:eastAsia="宋体"/>
          <w:color w:val="000000"/>
          <w:sz w:val="21"/>
        </w:rPr>
        <w:t>市市场监督管理局组织研究，对需要复检并具备检验条件的，组织复检。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.2.3 申请人应当自收到市场监督管理部门复检通知之日起七日内办理复检手续。逾期未办理的，视为放弃复检。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 xml:space="preserve">.2.4 </w:t>
      </w:r>
      <w:r>
        <w:rPr>
          <w:rFonts w:hint="eastAsia" w:ascii="宋体" w:hAnsi="宋体"/>
          <w:color w:val="000000"/>
          <w:sz w:val="21"/>
          <w:lang w:eastAsia="zh-CN"/>
        </w:rPr>
        <w:t>赣州</w:t>
      </w:r>
      <w:r>
        <w:rPr>
          <w:rFonts w:hint="eastAsia" w:ascii="宋体" w:hAnsi="宋体" w:eastAsia="宋体"/>
          <w:color w:val="000000"/>
          <w:sz w:val="21"/>
        </w:rPr>
        <w:t>市市场监督管理局自申请人办理复检手续之日起十日内确定具备相应资质的检验机构进行复检。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.2.5 被抽样销售者隐匿、转移、变卖、损毁备用样品的，应当终止复检，并以初检结论为最终结论。</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.2.6 复检机构应当在规定时间内按照监督抽查实施细则所规定的检验方法、判定规则等对与异议相关的检验项目进行复检，并将复检结论及时报送</w:t>
      </w:r>
      <w:r>
        <w:rPr>
          <w:rFonts w:hint="eastAsia" w:ascii="宋体" w:hAnsi="宋体"/>
          <w:color w:val="000000"/>
          <w:sz w:val="21"/>
          <w:lang w:eastAsia="zh-CN"/>
        </w:rPr>
        <w:t>赣州</w:t>
      </w:r>
      <w:r>
        <w:rPr>
          <w:rFonts w:hint="eastAsia" w:ascii="宋体" w:hAnsi="宋体" w:eastAsia="宋体"/>
          <w:color w:val="000000"/>
          <w:sz w:val="21"/>
        </w:rPr>
        <w:t>市市场监督管理局，由</w:t>
      </w:r>
      <w:r>
        <w:rPr>
          <w:rFonts w:hint="eastAsia" w:ascii="宋体" w:hAnsi="宋体"/>
          <w:color w:val="000000"/>
          <w:sz w:val="21"/>
          <w:lang w:eastAsia="zh-CN"/>
        </w:rPr>
        <w:t>赣州</w:t>
      </w:r>
      <w:r>
        <w:rPr>
          <w:rFonts w:hint="eastAsia" w:ascii="宋体" w:hAnsi="宋体" w:eastAsia="宋体"/>
          <w:color w:val="000000"/>
          <w:sz w:val="21"/>
        </w:rPr>
        <w:t>市市场监督管理局书面告知复检申请人。复检结论为最终结论。</w:t>
      </w:r>
    </w:p>
    <w:p>
      <w:pPr>
        <w:snapToGrid w:val="0"/>
        <w:spacing w:beforeLines="0" w:afterLines="0" w:line="440" w:lineRule="exact"/>
        <w:rPr>
          <w:rFonts w:hint="eastAsia" w:ascii="宋体" w:hAnsi="宋体" w:eastAsia="宋体"/>
          <w:color w:val="000000"/>
          <w:sz w:val="21"/>
          <w:lang w:val="en-US" w:eastAsia="zh-CN"/>
        </w:rPr>
      </w:pPr>
      <w:r>
        <w:rPr>
          <w:rFonts w:hint="eastAsia" w:ascii="宋体" w:hAnsi="宋体" w:eastAsia="宋体"/>
          <w:color w:val="000000"/>
          <w:sz w:val="21"/>
          <w:lang w:val="en-US" w:eastAsia="zh-CN"/>
        </w:rPr>
        <w:t>4</w:t>
      </w:r>
      <w:r>
        <w:rPr>
          <w:rFonts w:hint="eastAsia" w:ascii="宋体" w:hAnsi="宋体" w:eastAsia="宋体"/>
          <w:color w:val="000000"/>
          <w:sz w:val="21"/>
        </w:rPr>
        <w:t>.2.7 复检费用由申请人向复检机构先行支付。复检结论与初检结论一致的，复检费用由申请人承担；与初检结论不一致的，复检费用由承担本次抽样检验的单位承担</w:t>
      </w:r>
      <w:r>
        <w:rPr>
          <w:rFonts w:hint="eastAsia" w:ascii="宋体" w:hAnsi="宋体" w:eastAsia="宋体"/>
          <w:color w:val="000000"/>
          <w:sz w:val="21"/>
          <w:lang w:eastAsia="zh-CN"/>
        </w:rPr>
        <w:t>。</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w:t>
      </w:r>
      <w:r>
        <w:rPr>
          <w:rFonts w:hint="eastAsia" w:ascii="宋体" w:hAnsi="宋体" w:eastAsia="宋体"/>
          <w:color w:val="000000"/>
          <w:sz w:val="21"/>
          <w:lang w:val="en-US" w:eastAsia="zh-CN"/>
        </w:rPr>
        <w:t>8</w:t>
      </w:r>
      <w:r>
        <w:rPr>
          <w:rFonts w:hint="eastAsia" w:ascii="宋体" w:hAnsi="宋体" w:eastAsia="宋体"/>
          <w:color w:val="000000"/>
          <w:sz w:val="21"/>
        </w:rPr>
        <w:t xml:space="preserve"> </w:t>
      </w:r>
      <w:bookmarkStart w:id="0" w:name="_Hlk70263795"/>
      <w:r>
        <w:rPr>
          <w:rFonts w:hint="eastAsia" w:ascii="宋体" w:hAnsi="宋体" w:eastAsia="宋体"/>
          <w:color w:val="000000"/>
          <w:sz w:val="21"/>
        </w:rPr>
        <w:t>燃放性能检验项目不进行复检</w:t>
      </w:r>
      <w:bookmarkEnd w:id="0"/>
      <w:r>
        <w:rPr>
          <w:rFonts w:hint="eastAsia" w:ascii="宋体" w:hAnsi="宋体" w:eastAsia="宋体"/>
          <w:color w:val="000000"/>
          <w:sz w:val="21"/>
        </w:rPr>
        <w:t>。</w:t>
      </w:r>
    </w:p>
    <w:p>
      <w:pPr>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 xml:space="preserve">5 其他 </w:t>
      </w:r>
    </w:p>
    <w:p>
      <w:pPr>
        <w:snapToGrid w:val="0"/>
        <w:spacing w:beforeLines="0" w:afterLines="0" w:line="440" w:lineRule="exact"/>
        <w:rPr>
          <w:rFonts w:hint="eastAsia" w:ascii="宋体" w:hAnsi="宋体" w:eastAsia="宋体" w:cs="宋体"/>
          <w:sz w:val="21"/>
          <w:szCs w:val="21"/>
        </w:rPr>
      </w:pPr>
      <w:r>
        <w:rPr>
          <w:rFonts w:hint="eastAsia" w:ascii="宋体" w:hAnsi="宋体" w:eastAsia="宋体"/>
          <w:color w:val="000000"/>
          <w:sz w:val="21"/>
          <w:lang w:val="en-US" w:eastAsia="zh-CN"/>
        </w:rPr>
        <w:t>5</w:t>
      </w:r>
      <w:r>
        <w:rPr>
          <w:rFonts w:hint="eastAsia" w:ascii="宋体" w:hAnsi="宋体" w:eastAsia="宋体"/>
          <w:color w:val="000000"/>
          <w:sz w:val="21"/>
        </w:rPr>
        <w:t>.1 本细则由</w:t>
      </w:r>
      <w:r>
        <w:rPr>
          <w:rFonts w:hint="eastAsia" w:ascii="宋体" w:hAnsi="宋体" w:eastAsia="宋体"/>
          <w:color w:val="000000"/>
          <w:sz w:val="21"/>
          <w:lang w:eastAsia="zh-CN"/>
        </w:rPr>
        <w:t>赣州</w:t>
      </w:r>
      <w:r>
        <w:rPr>
          <w:rFonts w:hint="eastAsia" w:ascii="宋体" w:hAnsi="宋体" w:eastAsia="宋体"/>
          <w:color w:val="000000"/>
          <w:sz w:val="21"/>
        </w:rPr>
        <w:t>市市场监督管理局制定并负责解释。</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swiss"/>
    <w:pitch w:val="default"/>
    <w:sig w:usb0="00000001" w:usb1="080E0000" w:usb2="00000000" w:usb3="00000000" w:csb0="00040000" w:csb1="00000000"/>
  </w:font>
  <w:font w:name="汉鼎简书宋二">
    <w:altName w:val="宋体"/>
    <w:panose1 w:val="00000000000000000000"/>
    <w:charset w:val="86"/>
    <w:family w:val="swiss"/>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yZmVmNmUxZGUyMzc3ZjhlODU5MjM4M2Q2Y2I3YmQ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74FD5"/>
    <w:rsid w:val="00187CFC"/>
    <w:rsid w:val="00192763"/>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4EA7"/>
    <w:rsid w:val="006052B1"/>
    <w:rsid w:val="00607A4D"/>
    <w:rsid w:val="00607B11"/>
    <w:rsid w:val="0061090E"/>
    <w:rsid w:val="00612980"/>
    <w:rsid w:val="00623D69"/>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7B24A73"/>
    <w:rsid w:val="0F2C08D3"/>
    <w:rsid w:val="175C49A5"/>
    <w:rsid w:val="18556426"/>
    <w:rsid w:val="185D049A"/>
    <w:rsid w:val="187E5C1A"/>
    <w:rsid w:val="1BB43086"/>
    <w:rsid w:val="1E7D1C32"/>
    <w:rsid w:val="23840ECE"/>
    <w:rsid w:val="29407A68"/>
    <w:rsid w:val="31040918"/>
    <w:rsid w:val="33EC4DB1"/>
    <w:rsid w:val="3C9A770A"/>
    <w:rsid w:val="3F5E0F5E"/>
    <w:rsid w:val="47440F1A"/>
    <w:rsid w:val="47922AC1"/>
    <w:rsid w:val="51F24C5E"/>
    <w:rsid w:val="526D5512"/>
    <w:rsid w:val="533C5297"/>
    <w:rsid w:val="55510321"/>
    <w:rsid w:val="579C1D99"/>
    <w:rsid w:val="5AFF3A8D"/>
    <w:rsid w:val="6E1F3ADC"/>
    <w:rsid w:val="6F180889"/>
    <w:rsid w:val="72192610"/>
    <w:rsid w:val="79BE50AB"/>
    <w:rsid w:val="7E5C334E"/>
    <w:rsid w:val="7F8C48B8"/>
    <w:rsid w:val="CDF68F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1337</Words>
  <Characters>1438</Characters>
  <Lines>32</Lines>
  <Paragraphs>9</Paragraphs>
  <TotalTime>0</TotalTime>
  <ScaleCrop>false</ScaleCrop>
  <LinksUpToDate>false</LinksUpToDate>
  <CharactersWithSpaces>1475</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2023-08-16T16:47:00Z</dcterms:created>
  <dc:creator>微软用户</dc:creator>
  <cp:lastModifiedBy>user</cp:lastModifiedBy>
  <cp:lastPrinted>2020-12-10T16:46:00Z</cp:lastPrinted>
  <dcterms:modified xsi:type="dcterms:W3CDTF">2024-08-30T16:16:16Z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