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宋体" w:eastAsia="黑体"/>
          <w:color w:val="000000"/>
          <w:spacing w:val="0"/>
          <w:w w:val="100"/>
          <w:sz w:val="44"/>
          <w:szCs w:val="44"/>
        </w:rPr>
      </w:pPr>
      <w:r>
        <w:rPr>
          <w:rFonts w:hint="eastAsia" w:ascii="黑体" w:hAnsi="宋体" w:eastAsia="黑体"/>
          <w:color w:val="000000"/>
          <w:spacing w:val="0"/>
          <w:w w:val="100"/>
          <w:sz w:val="52"/>
          <w:szCs w:val="52"/>
          <w:lang w:eastAsia="zh-CN"/>
        </w:rPr>
        <w:t>赣州</w:t>
      </w:r>
      <w:r>
        <w:rPr>
          <w:rFonts w:hint="eastAsia" w:ascii="黑体" w:hAnsi="宋体" w:eastAsia="黑体"/>
          <w:color w:val="000000"/>
          <w:spacing w:val="0"/>
          <w:w w:val="100"/>
          <w:sz w:val="52"/>
          <w:szCs w:val="52"/>
        </w:rPr>
        <w:t>市产品质量监督抽查实施细则</w:t>
      </w:r>
    </w:p>
    <w:p>
      <w:pPr>
        <w:wordWrap w:val="0"/>
        <w:spacing w:before="240"/>
        <w:ind w:right="420"/>
        <w:jc w:val="right"/>
        <w:rPr>
          <w:rFonts w:hint="eastAsia" w:ascii="黑体" w:hAnsi="宋体" w:eastAsia="黑体"/>
          <w:color w:val="000000"/>
          <w:spacing w:val="0"/>
          <w:w w:val="100"/>
          <w:sz w:val="28"/>
          <w:szCs w:val="28"/>
          <w:lang w:val="en-US" w:eastAsia="zh-CN"/>
        </w:rPr>
      </w:pPr>
      <w:r>
        <w:rPr>
          <w:rFonts w:hint="eastAsia" w:ascii="黑体" w:hAnsi="宋体" w:eastAsia="黑体"/>
          <w:color w:val="000000"/>
          <w:sz w:val="28"/>
          <w:szCs w:val="28"/>
        </w:rPr>
        <w:t xml:space="preserve">GZCCXZ </w:t>
      </w:r>
      <w:r>
        <w:rPr>
          <w:rFonts w:hint="eastAsia" w:ascii="黑体" w:hAnsi="宋体" w:eastAsia="黑体"/>
          <w:color w:val="000000"/>
          <w:sz w:val="28"/>
          <w:szCs w:val="28"/>
          <w:lang w:val="en-US" w:eastAsia="zh-CN"/>
        </w:rPr>
        <w:t>19</w:t>
      </w:r>
      <w:r>
        <w:rPr>
          <w:rFonts w:hint="eastAsia" w:ascii="黑体" w:hAnsi="宋体" w:eastAsia="黑体"/>
          <w:color w:val="000000"/>
          <w:sz w:val="28"/>
          <w:szCs w:val="28"/>
        </w:rPr>
        <w:t>-2024</w:t>
      </w:r>
      <w:r>
        <w:rPr>
          <w:rFonts w:ascii="宋体" w:hAnsi="宋体" w:eastAsia="宋体"/>
          <w:color w:val="000000"/>
          <w:spacing w:val="0"/>
          <w:w w:val="100"/>
          <w:szCs w:val="21"/>
        </w:rPr>
        <mc:AlternateContent>
          <mc:Choice Requires="wps">
            <w:drawing>
              <wp:anchor distT="0" distB="0" distL="114300" distR="114300" simplePos="0" relativeHeight="251660288" behindDoc="0" locked="0" layoutInCell="1" allowOverlap="1">
                <wp:simplePos x="0" y="0"/>
                <wp:positionH relativeFrom="column">
                  <wp:posOffset>-123190</wp:posOffset>
                </wp:positionH>
                <wp:positionV relativeFrom="paragraph">
                  <wp:posOffset>501650</wp:posOffset>
                </wp:positionV>
                <wp:extent cx="5257800" cy="635"/>
                <wp:effectExtent l="0" t="0" r="0" b="0"/>
                <wp:wrapNone/>
                <wp:docPr id="3" name="直接连接符 3"/>
                <wp:cNvGraphicFramePr/>
                <a:graphic xmlns:a="http://schemas.openxmlformats.org/drawingml/2006/main">
                  <a:graphicData uri="http://schemas.microsoft.com/office/word/2010/wordprocessingShape">
                    <wps:wsp>
                      <wps:cNvCnPr/>
                      <wps:spPr>
                        <a:xfrm>
                          <a:off x="0" y="0"/>
                          <a:ext cx="5257800" cy="635"/>
                        </a:xfrm>
                        <a:prstGeom prst="line">
                          <a:avLst/>
                        </a:prstGeom>
                        <a:ln w="9525" cap="flat" cmpd="sng">
                          <a:solidFill>
                            <a:srgbClr val="000000"/>
                          </a:solidFill>
                          <a:prstDash val="solid"/>
                          <a:headEnd type="none" w="med" len="med"/>
                          <a:tailEnd type="none" w="med" len="med"/>
                        </a:ln>
                        <a:effectLst/>
                      </wps:spPr>
                      <wps:bodyPr upright="true"/>
                    </wps:wsp>
                  </a:graphicData>
                </a:graphic>
              </wp:anchor>
            </w:drawing>
          </mc:Choice>
          <mc:Fallback>
            <w:pict>
              <v:line id="_x0000_s1026" o:spid="_x0000_s1026" o:spt="20" style="position:absolute;left:0pt;margin-left:-9.7pt;margin-top:39.5pt;height:0.05pt;width:414pt;z-index:251660288;mso-width-relative:page;mso-height-relative:page;" filled="f" stroked="t" coordsize="21600,21600" o:gfxdata="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FgAAAGRycy9QSwECFAAU&#10;AAAACACHTuJAG0zibNcAAAAJAQAADwAAAAAAAAABACAAAAA4AAAAZHJzL2Rvd25yZXYueG1sUEsB&#10;AhQAFAAAAAgAh07iQGj+QfTgAQAAqQMAAA4AAAAAAAAAAQAgAAAAPAEAAGRycy9lMm9Eb2MueG1s&#10;UEsFBgAAAAAGAAYAWQEAAI4FAAAAAA==&#10;">
                <v:fill on="f" focussize="0,0"/>
                <v:stroke color="#000000" joinstyle="round"/>
                <v:imagedata o:title=""/>
                <o:lock v:ext="edit" aspectratio="f"/>
              </v:line>
            </w:pict>
          </mc:Fallback>
        </mc:AlternateContent>
      </w:r>
    </w:p>
    <w:p>
      <w:pPr>
        <w:jc w:val="center"/>
        <w:rPr>
          <w:rFonts w:ascii="宋体" w:hAnsi="宋体" w:eastAsia="宋体"/>
          <w:color w:val="000000"/>
          <w:spacing w:val="0"/>
          <w:w w:val="100"/>
          <w:sz w:val="44"/>
          <w:szCs w:val="44"/>
          <w:highlight w:val="yellow"/>
        </w:rPr>
      </w:pPr>
    </w:p>
    <w:p>
      <w:pPr>
        <w:jc w:val="center"/>
        <w:rPr>
          <w:rFonts w:hint="eastAsia" w:eastAsia="宋体"/>
          <w:color w:val="000000"/>
          <w:spacing w:val="0"/>
          <w:w w:val="100"/>
          <w:sz w:val="44"/>
          <w:szCs w:val="44"/>
        </w:rPr>
      </w:pPr>
    </w:p>
    <w:p>
      <w:pPr>
        <w:jc w:val="center"/>
        <w:rPr>
          <w:rFonts w:hint="eastAsia" w:eastAsia="宋体"/>
          <w:color w:val="000000"/>
          <w:spacing w:val="0"/>
          <w:w w:val="100"/>
          <w:sz w:val="44"/>
          <w:szCs w:val="44"/>
        </w:rPr>
      </w:pPr>
    </w:p>
    <w:p>
      <w:pPr>
        <w:widowControl w:val="0"/>
        <w:jc w:val="both"/>
        <w:rPr>
          <w:rFonts w:hint="eastAsia" w:ascii="宋体" w:hAnsi="宋体" w:eastAsia="宋体" w:cs="宋体"/>
          <w:spacing w:val="0"/>
          <w:w w:val="100"/>
          <w:kern w:val="2"/>
          <w:sz w:val="18"/>
          <w:szCs w:val="18"/>
          <w:lang w:val="en-US" w:eastAsia="zh-CN" w:bidi="ar-SA"/>
        </w:rPr>
      </w:pPr>
    </w:p>
    <w:p>
      <w:pPr>
        <w:jc w:val="center"/>
        <w:rPr>
          <w:rFonts w:hint="eastAsia" w:eastAsia="宋体"/>
          <w:color w:val="000000"/>
          <w:spacing w:val="0"/>
          <w:w w:val="100"/>
          <w:sz w:val="44"/>
          <w:szCs w:val="44"/>
        </w:rPr>
      </w:pPr>
    </w:p>
    <w:p>
      <w:pPr>
        <w:jc w:val="center"/>
        <w:rPr>
          <w:rFonts w:hint="eastAsia" w:eastAsia="宋体"/>
          <w:color w:val="000000"/>
          <w:spacing w:val="0"/>
          <w:w w:val="100"/>
          <w:sz w:val="44"/>
          <w:szCs w:val="44"/>
        </w:rPr>
      </w:pPr>
    </w:p>
    <w:p>
      <w:pPr>
        <w:jc w:val="center"/>
        <w:rPr>
          <w:rFonts w:hint="eastAsia" w:ascii="黑体" w:hAnsi="宋体" w:eastAsia="黑体"/>
          <w:color w:val="000000"/>
          <w:spacing w:val="0"/>
          <w:w w:val="100"/>
          <w:sz w:val="52"/>
          <w:szCs w:val="52"/>
          <w:lang w:eastAsia="zh-CN"/>
        </w:rPr>
      </w:pPr>
    </w:p>
    <w:p>
      <w:pPr>
        <w:jc w:val="center"/>
        <w:rPr>
          <w:rFonts w:hint="default" w:eastAsia="宋体"/>
          <w:color w:val="000000"/>
          <w:spacing w:val="0"/>
          <w:w w:val="100"/>
          <w:sz w:val="44"/>
          <w:szCs w:val="44"/>
          <w:lang w:val="en-US" w:eastAsia="zh-CN"/>
        </w:rPr>
      </w:pPr>
      <w:r>
        <w:rPr>
          <w:rFonts w:hint="eastAsia" w:ascii="黑体" w:hAnsi="黑体" w:eastAsia="黑体" w:cs="黑体"/>
          <w:color w:val="000000"/>
          <w:spacing w:val="0"/>
          <w:w w:val="100"/>
          <w:sz w:val="52"/>
          <w:szCs w:val="52"/>
          <w:lang w:val="en-US" w:eastAsia="zh-CN"/>
        </w:rPr>
        <w:t>燃气软管(含波纹管)</w:t>
      </w:r>
    </w:p>
    <w:p>
      <w:pPr>
        <w:widowControl w:val="0"/>
        <w:jc w:val="both"/>
        <w:rPr>
          <w:rFonts w:ascii="宋体" w:hAnsi="宋体" w:eastAsia="宋体" w:cs="宋体"/>
          <w:color w:val="000000"/>
          <w:spacing w:val="0"/>
          <w:w w:val="100"/>
          <w:kern w:val="2"/>
          <w:sz w:val="44"/>
          <w:szCs w:val="44"/>
          <w:lang w:val="en-US" w:eastAsia="zh-CN" w:bidi="ar-SA"/>
        </w:rPr>
      </w:pPr>
    </w:p>
    <w:p>
      <w:pPr>
        <w:widowControl w:val="0"/>
        <w:jc w:val="both"/>
        <w:rPr>
          <w:rFonts w:ascii="宋体" w:hAnsi="宋体" w:eastAsia="宋体" w:cs="宋体"/>
          <w:color w:val="000000"/>
          <w:spacing w:val="0"/>
          <w:w w:val="100"/>
          <w:kern w:val="2"/>
          <w:sz w:val="44"/>
          <w:szCs w:val="44"/>
          <w:lang w:val="en-US" w:eastAsia="zh-CN" w:bidi="ar-SA"/>
        </w:rPr>
      </w:pPr>
    </w:p>
    <w:p>
      <w:pPr>
        <w:widowControl w:val="0"/>
        <w:jc w:val="both"/>
        <w:rPr>
          <w:rFonts w:ascii="宋体" w:hAnsi="宋体" w:eastAsia="宋体" w:cs="宋体"/>
          <w:color w:val="000000"/>
          <w:spacing w:val="0"/>
          <w:w w:val="100"/>
          <w:kern w:val="2"/>
          <w:sz w:val="44"/>
          <w:szCs w:val="44"/>
          <w:lang w:val="en-US" w:eastAsia="zh-CN" w:bidi="ar-SA"/>
        </w:rPr>
      </w:pPr>
    </w:p>
    <w:p>
      <w:pPr>
        <w:jc w:val="center"/>
        <w:rPr>
          <w:rFonts w:eastAsia="宋体"/>
          <w:color w:val="000000"/>
          <w:spacing w:val="0"/>
          <w:w w:val="100"/>
          <w:sz w:val="44"/>
          <w:szCs w:val="44"/>
        </w:rPr>
      </w:pPr>
    </w:p>
    <w:p>
      <w:pPr>
        <w:widowControl w:val="0"/>
        <w:jc w:val="both"/>
        <w:rPr>
          <w:rFonts w:ascii="宋体" w:hAnsi="宋体" w:eastAsia="宋体" w:cs="宋体"/>
          <w:kern w:val="2"/>
          <w:sz w:val="18"/>
          <w:szCs w:val="18"/>
          <w:lang w:val="en-US" w:eastAsia="zh-CN" w:bidi="ar-SA"/>
        </w:rPr>
      </w:pPr>
    </w:p>
    <w:p>
      <w:pPr>
        <w:widowControl w:val="0"/>
        <w:jc w:val="both"/>
        <w:rPr>
          <w:rFonts w:ascii="宋体" w:hAnsi="宋体" w:eastAsia="宋体" w:cs="宋体"/>
          <w:kern w:val="2"/>
          <w:sz w:val="18"/>
          <w:szCs w:val="18"/>
          <w:lang w:val="en-US" w:eastAsia="zh-CN" w:bidi="ar-SA"/>
        </w:rPr>
      </w:pPr>
    </w:p>
    <w:p>
      <w:pPr>
        <w:jc w:val="both"/>
        <w:rPr>
          <w:rFonts w:hint="eastAsia" w:eastAsia="宋体"/>
          <w:color w:val="000000"/>
          <w:spacing w:val="0"/>
          <w:w w:val="100"/>
          <w:sz w:val="44"/>
          <w:szCs w:val="44"/>
        </w:rPr>
      </w:pPr>
    </w:p>
    <w:p>
      <w:pPr>
        <w:jc w:val="both"/>
        <w:rPr>
          <w:rFonts w:hint="eastAsia" w:eastAsia="宋体"/>
          <w:color w:val="000000"/>
          <w:spacing w:val="0"/>
          <w:w w:val="100"/>
          <w:sz w:val="44"/>
          <w:szCs w:val="44"/>
        </w:rPr>
      </w:pPr>
    </w:p>
    <w:p>
      <w:pPr>
        <w:widowControl w:val="0"/>
        <w:jc w:val="both"/>
        <w:rPr>
          <w:rFonts w:hint="eastAsia" w:ascii="宋体" w:hAnsi="宋体" w:eastAsia="宋体" w:cs="宋体"/>
          <w:spacing w:val="0"/>
          <w:w w:val="100"/>
          <w:kern w:val="2"/>
          <w:sz w:val="18"/>
          <w:szCs w:val="18"/>
          <w:lang w:val="en-US" w:eastAsia="zh-CN" w:bidi="ar-SA"/>
        </w:rPr>
      </w:pPr>
    </w:p>
    <w:p>
      <w:pPr>
        <w:ind w:firstLine="140" w:firstLineChars="50"/>
        <w:rPr>
          <w:rFonts w:hint="eastAsia" w:ascii="黑体" w:hAnsi="宋体" w:eastAsia="黑体"/>
          <w:color w:val="000000"/>
          <w:spacing w:val="0"/>
          <w:w w:val="100"/>
          <w:sz w:val="28"/>
          <w:szCs w:val="28"/>
          <w:highlight w:val="yellow"/>
        </w:rPr>
      </w:pPr>
      <w:r>
        <w:rPr>
          <w:rFonts w:hint="eastAsia" w:ascii="黑体" w:hAnsi="宋体" w:eastAsia="黑体"/>
          <w:spacing w:val="0"/>
          <w:w w:val="100"/>
          <w:sz w:val="28"/>
          <w:szCs w:val="28"/>
        </w:rPr>
        <w:t xml:space="preserve"> </w:t>
      </w:r>
      <w:r>
        <w:rPr>
          <w:rFonts w:hint="eastAsia" w:ascii="黑体" w:hAnsi="宋体" w:eastAsia="黑体"/>
          <w:color w:val="000000"/>
          <w:spacing w:val="0"/>
          <w:w w:val="100"/>
          <w:sz w:val="28"/>
          <w:szCs w:val="28"/>
        </w:rPr>
        <w:t>202</w:t>
      </w:r>
      <w:r>
        <w:rPr>
          <w:rFonts w:hint="eastAsia" w:ascii="黑体" w:hAnsi="宋体" w:eastAsia="黑体"/>
          <w:color w:val="000000"/>
          <w:spacing w:val="0"/>
          <w:w w:val="100"/>
          <w:sz w:val="28"/>
          <w:szCs w:val="28"/>
          <w:lang w:val="en-US" w:eastAsia="zh-CN"/>
        </w:rPr>
        <w:t>4</w:t>
      </w:r>
      <w:r>
        <w:rPr>
          <w:rFonts w:hint="eastAsia" w:ascii="黑体" w:hAnsi="宋体" w:eastAsia="黑体"/>
          <w:color w:val="000000"/>
          <w:spacing w:val="0"/>
          <w:w w:val="100"/>
          <w:sz w:val="28"/>
          <w:szCs w:val="28"/>
        </w:rPr>
        <w:t>—</w:t>
      </w:r>
      <w:r>
        <w:rPr>
          <w:rFonts w:hint="eastAsia" w:ascii="黑体" w:hAnsi="宋体" w:eastAsia="黑体"/>
          <w:color w:val="000000"/>
          <w:spacing w:val="0"/>
          <w:w w:val="100"/>
          <w:sz w:val="28"/>
          <w:szCs w:val="28"/>
          <w:lang w:val="en-US" w:eastAsia="zh-CN"/>
        </w:rPr>
        <w:t>0</w:t>
      </w:r>
      <w:r>
        <w:rPr>
          <w:rFonts w:hint="default" w:ascii="黑体" w:hAnsi="宋体" w:eastAsia="黑体"/>
          <w:color w:val="000000"/>
          <w:spacing w:val="0"/>
          <w:w w:val="100"/>
          <w:sz w:val="28"/>
          <w:szCs w:val="28"/>
          <w:lang w:val="en" w:eastAsia="zh-CN"/>
        </w:rPr>
        <w:t>8</w:t>
      </w:r>
      <w:r>
        <w:rPr>
          <w:rFonts w:hint="eastAsia" w:ascii="黑体" w:hAnsi="宋体" w:eastAsia="黑体"/>
          <w:color w:val="000000"/>
          <w:spacing w:val="0"/>
          <w:w w:val="100"/>
          <w:sz w:val="28"/>
          <w:szCs w:val="28"/>
        </w:rPr>
        <w:t>—</w:t>
      </w:r>
      <w:r>
        <w:rPr>
          <w:rFonts w:hint="default" w:ascii="黑体" w:hAnsi="宋体" w:eastAsia="黑体"/>
          <w:color w:val="000000"/>
          <w:spacing w:val="0"/>
          <w:w w:val="100"/>
          <w:sz w:val="28"/>
          <w:szCs w:val="28"/>
          <w:lang w:val="en" w:eastAsia="zh-CN"/>
        </w:rPr>
        <w:t>28</w:t>
      </w:r>
      <w:r>
        <w:rPr>
          <w:rFonts w:hint="eastAsia" w:ascii="黑体" w:hAnsi="宋体" w:eastAsia="黑体"/>
          <w:color w:val="000000"/>
          <w:spacing w:val="0"/>
          <w:w w:val="100"/>
          <w:sz w:val="28"/>
          <w:szCs w:val="28"/>
        </w:rPr>
        <w:t xml:space="preserve">发布                  </w:t>
      </w:r>
      <w:r>
        <w:rPr>
          <w:rFonts w:hint="eastAsia" w:ascii="黑体" w:hAnsi="宋体" w:eastAsia="黑体"/>
          <w:color w:val="000000"/>
          <w:spacing w:val="0"/>
          <w:w w:val="100"/>
          <w:sz w:val="28"/>
          <w:szCs w:val="28"/>
          <w:lang w:val="en-US" w:eastAsia="zh-CN"/>
        </w:rPr>
        <w:t xml:space="preserve">    </w:t>
      </w:r>
      <w:r>
        <w:rPr>
          <w:rFonts w:hint="eastAsia" w:ascii="黑体" w:hAnsi="宋体" w:eastAsia="黑体"/>
          <w:color w:val="000000"/>
          <w:spacing w:val="0"/>
          <w:w w:val="100"/>
          <w:sz w:val="28"/>
          <w:szCs w:val="28"/>
        </w:rPr>
        <w:t xml:space="preserve">  202</w:t>
      </w:r>
      <w:r>
        <w:rPr>
          <w:rFonts w:hint="eastAsia" w:ascii="黑体" w:hAnsi="宋体" w:eastAsia="黑体"/>
          <w:color w:val="000000"/>
          <w:spacing w:val="0"/>
          <w:w w:val="100"/>
          <w:sz w:val="28"/>
          <w:szCs w:val="28"/>
          <w:lang w:val="en-US" w:eastAsia="zh-CN"/>
        </w:rPr>
        <w:t>4</w:t>
      </w:r>
      <w:r>
        <w:rPr>
          <w:rFonts w:hint="eastAsia" w:ascii="黑体" w:hAnsi="宋体" w:eastAsia="黑体"/>
          <w:color w:val="000000"/>
          <w:spacing w:val="0"/>
          <w:w w:val="100"/>
          <w:sz w:val="28"/>
          <w:szCs w:val="28"/>
        </w:rPr>
        <w:t>—</w:t>
      </w:r>
      <w:r>
        <w:rPr>
          <w:rFonts w:hint="eastAsia" w:ascii="黑体" w:hAnsi="宋体" w:eastAsia="黑体"/>
          <w:color w:val="000000"/>
          <w:spacing w:val="0"/>
          <w:w w:val="100"/>
          <w:sz w:val="28"/>
          <w:szCs w:val="28"/>
          <w:lang w:val="en-US" w:eastAsia="zh-CN"/>
        </w:rPr>
        <w:t>0</w:t>
      </w:r>
      <w:r>
        <w:rPr>
          <w:rFonts w:hint="default" w:ascii="黑体" w:hAnsi="宋体" w:eastAsia="黑体"/>
          <w:color w:val="000000"/>
          <w:spacing w:val="0"/>
          <w:w w:val="100"/>
          <w:sz w:val="28"/>
          <w:szCs w:val="28"/>
          <w:lang w:val="en" w:eastAsia="zh-CN"/>
        </w:rPr>
        <w:t>8</w:t>
      </w:r>
      <w:r>
        <w:rPr>
          <w:rFonts w:hint="eastAsia" w:ascii="黑体" w:hAnsi="宋体" w:eastAsia="黑体"/>
          <w:color w:val="000000"/>
          <w:spacing w:val="0"/>
          <w:w w:val="100"/>
          <w:sz w:val="28"/>
          <w:szCs w:val="28"/>
        </w:rPr>
        <w:t>—</w:t>
      </w:r>
      <w:r>
        <w:rPr>
          <w:rFonts w:hint="default" w:ascii="黑体" w:hAnsi="宋体" w:eastAsia="黑体"/>
          <w:color w:val="000000"/>
          <w:spacing w:val="0"/>
          <w:w w:val="100"/>
          <w:sz w:val="28"/>
          <w:szCs w:val="28"/>
          <w:lang w:val="en" w:eastAsia="zh-CN"/>
        </w:rPr>
        <w:t>28</w:t>
      </w:r>
      <w:r>
        <w:rPr>
          <w:rFonts w:hint="eastAsia" w:ascii="黑体" w:hAnsi="宋体" w:eastAsia="黑体"/>
          <w:color w:val="000000"/>
          <w:spacing w:val="0"/>
          <w:w w:val="100"/>
          <w:sz w:val="28"/>
          <w:szCs w:val="28"/>
        </w:rPr>
        <w:t>实施</w:t>
      </w:r>
      <w:r>
        <w:rPr>
          <w:rFonts w:eastAsia="宋体"/>
          <w:spacing w:val="0"/>
          <w:w w:val="100"/>
          <w:sz w:val="28"/>
        </w:rPr>
        <mc:AlternateContent>
          <mc:Choice Requires="wps">
            <w:drawing>
              <wp:anchor distT="0" distB="0" distL="114300" distR="114300" simplePos="0" relativeHeight="251661312" behindDoc="0" locked="0" layoutInCell="1" allowOverlap="1">
                <wp:simplePos x="0" y="0"/>
                <wp:positionH relativeFrom="column">
                  <wp:posOffset>132080</wp:posOffset>
                </wp:positionH>
                <wp:positionV relativeFrom="paragraph">
                  <wp:posOffset>368935</wp:posOffset>
                </wp:positionV>
                <wp:extent cx="5259705" cy="9525"/>
                <wp:effectExtent l="0" t="0" r="0" b="0"/>
                <wp:wrapNone/>
                <wp:docPr id="1" name="直接连接符 1"/>
                <wp:cNvGraphicFramePr/>
                <a:graphic xmlns:a="http://schemas.openxmlformats.org/drawingml/2006/main">
                  <a:graphicData uri="http://schemas.microsoft.com/office/word/2010/wordprocessingShape">
                    <wps:wsp>
                      <wps:cNvCnPr/>
                      <wps:spPr>
                        <a:xfrm flipV="true">
                          <a:off x="0" y="0"/>
                          <a:ext cx="5259705" cy="9525"/>
                        </a:xfrm>
                        <a:prstGeom prst="line">
                          <a:avLst/>
                        </a:prstGeom>
                        <a:ln w="9525" cap="flat" cmpd="sng">
                          <a:solidFill>
                            <a:srgbClr val="000000"/>
                          </a:solidFill>
                          <a:prstDash val="solid"/>
                          <a:headEnd type="none" w="med" len="med"/>
                          <a:tailEnd type="none" w="med" len="med"/>
                        </a:ln>
                        <a:effectLst/>
                      </wps:spPr>
                      <wps:bodyPr upright="true"/>
                    </wps:wsp>
                  </a:graphicData>
                </a:graphic>
              </wp:anchor>
            </w:drawing>
          </mc:Choice>
          <mc:Fallback>
            <w:pict>
              <v:line id="_x0000_s1026" o:spid="_x0000_s1026" o:spt="20" style="position:absolute;left:0pt;flip:y;margin-left:10.4pt;margin-top:29.05pt;height:0.75pt;width:414.15pt;z-index:251661312;mso-width-relative:page;mso-height-relative:page;" filled="f" stroked="t" coordsize="21600,21600" o:gfxdata="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WAAAAZHJzL1BL&#10;AQIUABQAAAAIAIdO4kBhLENT1gAAAAgBAAAPAAAAAAAAAAEAIAAAADgAAABkcnMvZG93bnJldi54&#10;bWxQSwECFAAUAAAACACHTuJAxt9K9OYBAAC3AwAADgAAAAAAAAABACAAAAA7AQAAZHJzL2Uyb0Rv&#10;Yy54bWxQSwUGAAAAAAYABgBZAQAAkwUAAAAA&#10;">
                <v:fill on="f" focussize="0,0"/>
                <v:stroke color="#000000" joinstyle="round"/>
                <v:imagedata o:title=""/>
                <o:lock v:ext="edit" aspectratio="f"/>
              </v:line>
            </w:pict>
          </mc:Fallback>
        </mc:AlternateContent>
      </w:r>
    </w:p>
    <w:p>
      <w:pPr>
        <w:ind w:firstLine="140" w:firstLineChars="50"/>
        <w:rPr>
          <w:rFonts w:hint="eastAsia" w:ascii="黑体" w:hAnsi="宋体" w:eastAsia="黑体"/>
          <w:color w:val="000000"/>
          <w:spacing w:val="0"/>
          <w:w w:val="100"/>
          <w:sz w:val="28"/>
          <w:szCs w:val="28"/>
        </w:rPr>
      </w:pPr>
      <w:r>
        <w:rPr>
          <w:rFonts w:hint="eastAsia" w:ascii="黑体" w:hAnsi="宋体" w:eastAsia="黑体"/>
          <w:color w:val="000000"/>
          <w:spacing w:val="0"/>
          <w:w w:val="100"/>
          <w:sz w:val="28"/>
          <w:szCs w:val="28"/>
        </w:rPr>
        <w:t xml:space="preserve">           </w:t>
      </w:r>
    </w:p>
    <w:p>
      <w:pPr>
        <w:jc w:val="center"/>
        <w:rPr>
          <w:rFonts w:hint="eastAsia" w:ascii="黑体" w:hAnsi="黑体" w:eastAsia="黑体" w:cs="黑体"/>
          <w:color w:val="000000"/>
          <w:spacing w:val="0"/>
          <w:w w:val="100"/>
          <w:sz w:val="52"/>
          <w:szCs w:val="52"/>
          <w:lang w:val="en-US" w:eastAsia="zh-CN"/>
        </w:rPr>
      </w:pPr>
      <w:r>
        <w:rPr>
          <w:rFonts w:hint="eastAsia" w:ascii="黑体" w:hAnsi="黑体" w:eastAsia="黑体" w:cs="黑体"/>
          <w:color w:val="000000"/>
          <w:spacing w:val="0"/>
          <w:w w:val="100"/>
          <w:sz w:val="52"/>
          <w:szCs w:val="52"/>
          <w:lang w:val="en-US" w:eastAsia="zh-CN"/>
        </w:rPr>
        <w:t>赣州市市场监督管理局</w:t>
      </w:r>
    </w:p>
    <w:p>
      <w:pPr>
        <w:adjustRightInd w:val="0"/>
        <w:snapToGrid w:val="0"/>
        <w:spacing w:line="360" w:lineRule="auto"/>
        <w:jc w:val="center"/>
        <w:rPr>
          <w:rFonts w:hint="default" w:ascii="Times New Roman" w:hAnsi="Times New Roman" w:eastAsia="黑体" w:cs="Times New Roman"/>
          <w:b/>
          <w:bCs/>
          <w:sz w:val="48"/>
          <w:szCs w:val="48"/>
          <w:lang w:val="en-US" w:eastAsia="zh-CN"/>
        </w:rPr>
        <w:sectPr>
          <w:headerReference r:id="rId3" w:type="default"/>
          <w:footerReference r:id="rId4" w:type="default"/>
          <w:footerReference r:id="rId5" w:type="even"/>
          <w:pgSz w:w="11906" w:h="16838"/>
          <w:pgMar w:top="1440" w:right="1800" w:bottom="1440" w:left="1800" w:header="851" w:footer="992" w:gutter="0"/>
          <w:cols w:space="425" w:num="1"/>
          <w:docGrid w:type="lines" w:linePitch="312" w:charSpace="0"/>
        </w:sectPr>
      </w:pPr>
    </w:p>
    <w:p>
      <w:pPr>
        <w:adjustRightInd w:val="0"/>
        <w:snapToGrid w:val="0"/>
        <w:spacing w:line="360" w:lineRule="auto"/>
        <w:jc w:val="center"/>
        <w:rPr>
          <w:rFonts w:hint="default" w:ascii="黑体" w:hAnsi="黑体" w:eastAsia="黑体" w:cs="黑体"/>
          <w:b/>
          <w:bCs/>
          <w:sz w:val="32"/>
          <w:szCs w:val="32"/>
          <w:lang w:val="en-US" w:eastAsia="zh-CN"/>
        </w:rPr>
      </w:pPr>
      <w:r>
        <w:rPr>
          <w:rFonts w:hint="default" w:ascii="黑体" w:hAnsi="黑体" w:eastAsia="黑体" w:cs="黑体"/>
          <w:b/>
          <w:bCs/>
          <w:sz w:val="32"/>
          <w:szCs w:val="32"/>
          <w:lang w:val="en-US" w:eastAsia="zh-CN"/>
        </w:rPr>
        <w:t>燃气软管(含波纹管)产品质量监督抽查实施细则（2024）</w:t>
      </w:r>
    </w:p>
    <w:p>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jc w:val="both"/>
        <w:textAlignment w:val="auto"/>
        <w:rPr>
          <w:rFonts w:hint="default" w:ascii="Times New Roman" w:hAnsi="Times New Roman" w:eastAsia="仿宋" w:cs="Times New Roman"/>
          <w:b/>
          <w:bCs/>
          <w:sz w:val="32"/>
          <w:szCs w:val="32"/>
          <w:lang w:val="en-US" w:eastAsia="zh-CN"/>
        </w:rPr>
      </w:pPr>
    </w:p>
    <w:p>
      <w:pPr>
        <w:snapToGrid w:val="0"/>
        <w:spacing w:beforeLines="0" w:afterLines="0" w:line="440" w:lineRule="exact"/>
        <w:rPr>
          <w:rFonts w:hint="default" w:ascii="黑体" w:hAnsi="黑体" w:eastAsia="黑体"/>
          <w:sz w:val="21"/>
        </w:rPr>
      </w:pPr>
      <w:r>
        <w:rPr>
          <w:rFonts w:hint="default" w:ascii="黑体" w:hAnsi="黑体" w:eastAsia="黑体"/>
          <w:sz w:val="21"/>
        </w:rPr>
        <w:t>1 抽样方法</w:t>
      </w:r>
    </w:p>
    <w:p>
      <w:pPr>
        <w:adjustRightInd w:val="0"/>
        <w:snapToGrid w:val="0"/>
        <w:spacing w:line="360" w:lineRule="auto"/>
        <w:ind w:firstLine="420" w:firstLineChars="200"/>
        <w:jc w:val="left"/>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在企业的成品库内或市场随机抽取经企业检验合格或以任何方式表明合格的产品。</w:t>
      </w:r>
    </w:p>
    <w:p>
      <w:pPr>
        <w:adjustRightInd w:val="0"/>
        <w:snapToGrid w:val="0"/>
        <w:spacing w:line="360" w:lineRule="auto"/>
        <w:ind w:firstLine="420" w:firstLineChars="200"/>
        <w:jc w:val="left"/>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随机数一般可使用随机数表、骰子或扑克等方法产生。</w:t>
      </w:r>
    </w:p>
    <w:p>
      <w:pPr>
        <w:adjustRightInd w:val="0"/>
        <w:snapToGrid w:val="0"/>
        <w:spacing w:line="360" w:lineRule="auto"/>
        <w:ind w:firstLine="420" w:firstLineChars="200"/>
        <w:jc w:val="left"/>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以同一批号、同一规格的产品为抽样基数，在流通领域抽样，抽样基数满足抽样数量即可。</w:t>
      </w:r>
    </w:p>
    <w:p>
      <w:pPr>
        <w:adjustRightInd w:val="0"/>
        <w:snapToGrid w:val="0"/>
        <w:spacing w:line="360" w:lineRule="auto"/>
        <w:ind w:firstLine="420" w:firstLineChars="200"/>
        <w:jc w:val="left"/>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抽样数量为10米，其中5米作为检验样品，5米作为备用样品。</w:t>
      </w:r>
    </w:p>
    <w:p>
      <w:pPr>
        <w:snapToGrid w:val="0"/>
        <w:spacing w:beforeLines="0" w:afterLines="0" w:line="440" w:lineRule="exact"/>
        <w:rPr>
          <w:rFonts w:hint="default" w:ascii="黑体" w:hAnsi="黑体" w:eastAsia="黑体"/>
          <w:sz w:val="21"/>
        </w:rPr>
      </w:pPr>
      <w:r>
        <w:rPr>
          <w:rFonts w:hint="default" w:ascii="黑体" w:hAnsi="黑体" w:eastAsia="黑体"/>
          <w:sz w:val="21"/>
        </w:rPr>
        <w:t>2 检验依据</w:t>
      </w:r>
    </w:p>
    <w:tbl>
      <w:tblPr>
        <w:tblStyle w:val="10"/>
        <w:tblW w:w="4998" w:type="pct"/>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2"/>
        <w:gridCol w:w="2590"/>
        <w:gridCol w:w="2228"/>
        <w:gridCol w:w="24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9" w:hRule="atLeast"/>
          <w:jc w:val="right"/>
        </w:trPr>
        <w:tc>
          <w:tcPr>
            <w:tcW w:w="752" w:type="pct"/>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default" w:ascii="宋体" w:hAnsi="宋体" w:eastAsia="宋体"/>
                <w:sz w:val="21"/>
                <w:lang w:val="en-US" w:eastAsia="zh-CN"/>
              </w:rPr>
            </w:pPr>
            <w:r>
              <w:rPr>
                <w:rFonts w:hint="default" w:ascii="宋体" w:hAnsi="宋体" w:eastAsia="宋体"/>
                <w:sz w:val="21"/>
                <w:lang w:val="en-US" w:eastAsia="zh-CN"/>
              </w:rPr>
              <w:t>序号</w:t>
            </w:r>
          </w:p>
        </w:tc>
        <w:tc>
          <w:tcPr>
            <w:tcW w:w="1519" w:type="pct"/>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default" w:ascii="宋体" w:hAnsi="宋体" w:eastAsia="宋体"/>
                <w:sz w:val="21"/>
                <w:lang w:val="en-US" w:eastAsia="zh-CN"/>
              </w:rPr>
            </w:pPr>
            <w:r>
              <w:rPr>
                <w:rFonts w:hint="default" w:ascii="宋体" w:hAnsi="宋体" w:eastAsia="宋体"/>
                <w:sz w:val="21"/>
                <w:lang w:val="en-US" w:eastAsia="zh-CN"/>
              </w:rPr>
              <w:t>检验项目</w:t>
            </w:r>
          </w:p>
        </w:tc>
        <w:tc>
          <w:tcPr>
            <w:tcW w:w="1307" w:type="pct"/>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default" w:ascii="宋体" w:hAnsi="宋体" w:eastAsia="宋体"/>
                <w:sz w:val="21"/>
                <w:lang w:val="en-US" w:eastAsia="zh-CN"/>
              </w:rPr>
            </w:pPr>
            <w:r>
              <w:rPr>
                <w:rFonts w:hint="default" w:ascii="宋体" w:hAnsi="宋体" w:eastAsia="宋体"/>
                <w:sz w:val="21"/>
                <w:lang w:val="en-US" w:eastAsia="zh-CN"/>
              </w:rPr>
              <w:t>依据标准</w:t>
            </w:r>
          </w:p>
        </w:tc>
        <w:tc>
          <w:tcPr>
            <w:tcW w:w="1419" w:type="pct"/>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default" w:ascii="宋体" w:hAnsi="宋体" w:eastAsia="宋体"/>
                <w:sz w:val="21"/>
                <w:lang w:val="en-US" w:eastAsia="zh-CN"/>
              </w:rPr>
            </w:pPr>
            <w:r>
              <w:rPr>
                <w:rFonts w:hint="default" w:ascii="宋体" w:hAnsi="宋体" w:eastAsia="宋体"/>
                <w:sz w:val="21"/>
                <w:lang w:val="en-US" w:eastAsia="zh-CN"/>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right"/>
        </w:trPr>
        <w:tc>
          <w:tcPr>
            <w:tcW w:w="752" w:type="pct"/>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default" w:ascii="宋体" w:hAnsi="宋体" w:eastAsia="宋体"/>
                <w:sz w:val="21"/>
                <w:lang w:val="en-US" w:eastAsia="zh-CN"/>
              </w:rPr>
            </w:pPr>
            <w:r>
              <w:rPr>
                <w:rFonts w:hint="default" w:ascii="宋体" w:hAnsi="宋体" w:eastAsia="宋体"/>
                <w:sz w:val="21"/>
                <w:lang w:val="en-US" w:eastAsia="zh-CN"/>
              </w:rPr>
              <w:t>1</w:t>
            </w:r>
          </w:p>
        </w:tc>
        <w:tc>
          <w:tcPr>
            <w:tcW w:w="1519" w:type="pct"/>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default" w:ascii="宋体" w:hAnsi="宋体" w:eastAsia="宋体"/>
                <w:sz w:val="21"/>
                <w:lang w:val="en-US" w:eastAsia="zh-CN"/>
              </w:rPr>
            </w:pPr>
            <w:r>
              <w:rPr>
                <w:rFonts w:hint="default" w:ascii="宋体" w:hAnsi="宋体" w:eastAsia="宋体"/>
                <w:sz w:val="21"/>
                <w:lang w:val="en-US" w:eastAsia="zh-CN"/>
              </w:rPr>
              <w:t>软管拉伸强度</w:t>
            </w:r>
          </w:p>
        </w:tc>
        <w:tc>
          <w:tcPr>
            <w:tcW w:w="1307" w:type="pct"/>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default" w:ascii="宋体" w:hAnsi="宋体" w:eastAsia="宋体"/>
                <w:sz w:val="21"/>
                <w:lang w:val="en-US" w:eastAsia="zh-CN"/>
              </w:rPr>
            </w:pPr>
            <w:r>
              <w:rPr>
                <w:rFonts w:hint="default" w:ascii="宋体" w:hAnsi="宋体" w:eastAsia="宋体"/>
                <w:sz w:val="21"/>
                <w:lang w:val="en-US" w:eastAsia="zh-CN"/>
              </w:rPr>
              <w:t>GB/T 26002-2010</w:t>
            </w:r>
          </w:p>
        </w:tc>
        <w:tc>
          <w:tcPr>
            <w:tcW w:w="1419" w:type="pct"/>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default" w:ascii="宋体" w:hAnsi="宋体" w:eastAsia="宋体"/>
                <w:sz w:val="21"/>
                <w:lang w:val="en-US" w:eastAsia="zh-CN"/>
              </w:rPr>
            </w:pPr>
            <w:r>
              <w:rPr>
                <w:rFonts w:hint="default" w:ascii="宋体" w:hAnsi="宋体" w:eastAsia="宋体"/>
                <w:sz w:val="21"/>
                <w:lang w:val="en-US" w:eastAsia="zh-CN"/>
              </w:rPr>
              <w:t>GB/T 26002-2010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right"/>
        </w:trPr>
        <w:tc>
          <w:tcPr>
            <w:tcW w:w="752" w:type="pct"/>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default" w:ascii="宋体" w:hAnsi="宋体" w:eastAsia="宋体"/>
                <w:sz w:val="21"/>
                <w:lang w:val="en-US" w:eastAsia="zh-CN"/>
              </w:rPr>
            </w:pPr>
            <w:r>
              <w:rPr>
                <w:rFonts w:hint="default" w:ascii="宋体" w:hAnsi="宋体" w:eastAsia="宋体"/>
                <w:sz w:val="21"/>
                <w:lang w:val="en-US" w:eastAsia="zh-CN"/>
              </w:rPr>
              <w:t>2</w:t>
            </w:r>
          </w:p>
        </w:tc>
        <w:tc>
          <w:tcPr>
            <w:tcW w:w="1519" w:type="pct"/>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default" w:ascii="宋体" w:hAnsi="宋体" w:eastAsia="宋体"/>
                <w:sz w:val="21"/>
                <w:lang w:val="en-US" w:eastAsia="zh-CN"/>
              </w:rPr>
            </w:pPr>
            <w:r>
              <w:rPr>
                <w:rFonts w:hint="default" w:ascii="宋体" w:hAnsi="宋体" w:eastAsia="宋体"/>
                <w:sz w:val="21"/>
                <w:lang w:val="en-US" w:eastAsia="zh-CN"/>
              </w:rPr>
              <w:t>软管扁平性</w:t>
            </w:r>
          </w:p>
        </w:tc>
        <w:tc>
          <w:tcPr>
            <w:tcW w:w="1307" w:type="pct"/>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default" w:ascii="宋体" w:hAnsi="宋体" w:eastAsia="宋体"/>
                <w:sz w:val="21"/>
                <w:lang w:val="en-US" w:eastAsia="zh-CN"/>
              </w:rPr>
            </w:pPr>
            <w:r>
              <w:rPr>
                <w:rFonts w:hint="default" w:ascii="宋体" w:hAnsi="宋体" w:eastAsia="宋体"/>
                <w:sz w:val="21"/>
                <w:lang w:val="en-US" w:eastAsia="zh-CN"/>
              </w:rPr>
              <w:t>GB/T 26002-2010</w:t>
            </w:r>
          </w:p>
        </w:tc>
        <w:tc>
          <w:tcPr>
            <w:tcW w:w="1419" w:type="pct"/>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default" w:ascii="宋体" w:hAnsi="宋体" w:eastAsia="宋体"/>
                <w:sz w:val="21"/>
                <w:lang w:val="en-US" w:eastAsia="zh-CN"/>
              </w:rPr>
            </w:pPr>
            <w:r>
              <w:rPr>
                <w:rFonts w:hint="default" w:ascii="宋体" w:hAnsi="宋体" w:eastAsia="宋体"/>
                <w:sz w:val="21"/>
                <w:lang w:val="en-US" w:eastAsia="zh-CN"/>
              </w:rPr>
              <w:t>GB/T 26002-2010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right"/>
        </w:trPr>
        <w:tc>
          <w:tcPr>
            <w:tcW w:w="752" w:type="pct"/>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default" w:ascii="宋体" w:hAnsi="宋体" w:eastAsia="宋体"/>
                <w:sz w:val="21"/>
                <w:lang w:val="en-US" w:eastAsia="zh-CN"/>
              </w:rPr>
            </w:pPr>
            <w:r>
              <w:rPr>
                <w:rFonts w:hint="default" w:ascii="宋体" w:hAnsi="宋体" w:eastAsia="宋体"/>
                <w:sz w:val="21"/>
                <w:lang w:val="en-US" w:eastAsia="zh-CN"/>
              </w:rPr>
              <w:t>3</w:t>
            </w:r>
          </w:p>
        </w:tc>
        <w:tc>
          <w:tcPr>
            <w:tcW w:w="1519" w:type="pct"/>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default" w:ascii="宋体" w:hAnsi="宋体" w:eastAsia="宋体"/>
                <w:sz w:val="21"/>
                <w:lang w:val="en-US" w:eastAsia="zh-CN"/>
              </w:rPr>
            </w:pPr>
            <w:r>
              <w:rPr>
                <w:rFonts w:hint="default" w:ascii="宋体" w:hAnsi="宋体" w:eastAsia="宋体"/>
                <w:sz w:val="21"/>
                <w:lang w:val="en-US" w:eastAsia="zh-CN"/>
              </w:rPr>
              <w:t>软管耐冲击性</w:t>
            </w:r>
          </w:p>
        </w:tc>
        <w:tc>
          <w:tcPr>
            <w:tcW w:w="1307" w:type="pct"/>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default" w:ascii="宋体" w:hAnsi="宋体" w:eastAsia="宋体"/>
                <w:sz w:val="21"/>
                <w:lang w:val="en-US" w:eastAsia="zh-CN"/>
              </w:rPr>
            </w:pPr>
            <w:r>
              <w:rPr>
                <w:rFonts w:hint="default" w:ascii="宋体" w:hAnsi="宋体" w:eastAsia="宋体"/>
                <w:sz w:val="21"/>
                <w:lang w:val="en-US" w:eastAsia="zh-CN"/>
              </w:rPr>
              <w:t>GB/T 26002-2010</w:t>
            </w:r>
          </w:p>
        </w:tc>
        <w:tc>
          <w:tcPr>
            <w:tcW w:w="1419" w:type="pct"/>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default" w:ascii="宋体" w:hAnsi="宋体" w:eastAsia="宋体"/>
                <w:sz w:val="21"/>
                <w:lang w:val="en-US" w:eastAsia="zh-CN"/>
              </w:rPr>
            </w:pPr>
            <w:r>
              <w:rPr>
                <w:rFonts w:hint="default" w:ascii="宋体" w:hAnsi="宋体" w:eastAsia="宋体"/>
                <w:sz w:val="21"/>
                <w:lang w:val="en-US" w:eastAsia="zh-CN"/>
              </w:rPr>
              <w:t>GB/T 26002-2010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right"/>
        </w:trPr>
        <w:tc>
          <w:tcPr>
            <w:tcW w:w="752" w:type="pct"/>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default" w:ascii="宋体" w:hAnsi="宋体" w:eastAsia="宋体"/>
                <w:sz w:val="21"/>
                <w:lang w:val="en-US" w:eastAsia="zh-CN"/>
              </w:rPr>
            </w:pPr>
            <w:r>
              <w:rPr>
                <w:rFonts w:hint="default" w:ascii="宋体" w:hAnsi="宋体" w:eastAsia="宋体"/>
                <w:sz w:val="21"/>
                <w:lang w:val="en-US" w:eastAsia="zh-CN"/>
              </w:rPr>
              <w:t>4</w:t>
            </w:r>
          </w:p>
        </w:tc>
        <w:tc>
          <w:tcPr>
            <w:tcW w:w="1519" w:type="pct"/>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default" w:ascii="宋体" w:hAnsi="宋体" w:eastAsia="宋体"/>
                <w:sz w:val="21"/>
                <w:lang w:val="en-US" w:eastAsia="zh-CN"/>
              </w:rPr>
            </w:pPr>
            <w:r>
              <w:rPr>
                <w:rFonts w:hint="default" w:ascii="宋体" w:hAnsi="宋体" w:eastAsia="宋体"/>
                <w:sz w:val="21"/>
                <w:lang w:val="en-US" w:eastAsia="zh-CN"/>
              </w:rPr>
              <w:t>软管气密性</w:t>
            </w:r>
          </w:p>
        </w:tc>
        <w:tc>
          <w:tcPr>
            <w:tcW w:w="1307" w:type="pct"/>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default" w:ascii="宋体" w:hAnsi="宋体" w:eastAsia="宋体"/>
                <w:sz w:val="21"/>
                <w:lang w:val="en-US" w:eastAsia="zh-CN"/>
              </w:rPr>
            </w:pPr>
            <w:r>
              <w:rPr>
                <w:rFonts w:hint="default" w:ascii="宋体" w:hAnsi="宋体" w:eastAsia="宋体"/>
                <w:sz w:val="21"/>
                <w:lang w:val="en-US" w:eastAsia="zh-CN"/>
              </w:rPr>
              <w:t>GB/T 26002-2010</w:t>
            </w:r>
          </w:p>
        </w:tc>
        <w:tc>
          <w:tcPr>
            <w:tcW w:w="1419" w:type="pct"/>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default" w:ascii="宋体" w:hAnsi="宋体" w:eastAsia="宋体"/>
                <w:sz w:val="21"/>
                <w:lang w:val="en-US" w:eastAsia="zh-CN"/>
              </w:rPr>
            </w:pPr>
            <w:r>
              <w:rPr>
                <w:rFonts w:hint="default" w:ascii="宋体" w:hAnsi="宋体" w:eastAsia="宋体"/>
                <w:sz w:val="21"/>
                <w:lang w:val="en-US" w:eastAsia="zh-CN"/>
              </w:rPr>
              <w:t>GB/T 26002-2010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right"/>
        </w:trPr>
        <w:tc>
          <w:tcPr>
            <w:tcW w:w="752" w:type="pct"/>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default" w:ascii="宋体" w:hAnsi="宋体" w:eastAsia="宋体"/>
                <w:sz w:val="21"/>
                <w:lang w:val="en-US" w:eastAsia="zh-CN"/>
              </w:rPr>
            </w:pPr>
            <w:r>
              <w:rPr>
                <w:rFonts w:hint="default" w:ascii="宋体" w:hAnsi="宋体" w:eastAsia="宋体"/>
                <w:sz w:val="21"/>
                <w:lang w:val="en-US" w:eastAsia="zh-CN"/>
              </w:rPr>
              <w:t>5</w:t>
            </w:r>
          </w:p>
        </w:tc>
        <w:tc>
          <w:tcPr>
            <w:tcW w:w="1519" w:type="pct"/>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default" w:ascii="宋体" w:hAnsi="宋体" w:eastAsia="宋体"/>
                <w:sz w:val="21"/>
                <w:lang w:val="en-US" w:eastAsia="zh-CN"/>
              </w:rPr>
            </w:pPr>
            <w:r>
              <w:rPr>
                <w:rFonts w:hint="default" w:ascii="宋体" w:hAnsi="宋体" w:eastAsia="宋体"/>
                <w:sz w:val="21"/>
                <w:lang w:val="en-US" w:eastAsia="zh-CN"/>
              </w:rPr>
              <w:t>软管耐压性</w:t>
            </w:r>
          </w:p>
        </w:tc>
        <w:tc>
          <w:tcPr>
            <w:tcW w:w="1307" w:type="pct"/>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default" w:ascii="宋体" w:hAnsi="宋体" w:eastAsia="宋体"/>
                <w:sz w:val="21"/>
                <w:lang w:val="en-US" w:eastAsia="zh-CN"/>
              </w:rPr>
            </w:pPr>
            <w:r>
              <w:rPr>
                <w:rFonts w:hint="default" w:ascii="宋体" w:hAnsi="宋体" w:eastAsia="宋体"/>
                <w:sz w:val="21"/>
                <w:lang w:val="en-US" w:eastAsia="zh-CN"/>
              </w:rPr>
              <w:t>GB/T 26002-2010</w:t>
            </w:r>
          </w:p>
        </w:tc>
        <w:tc>
          <w:tcPr>
            <w:tcW w:w="1419" w:type="pct"/>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default" w:ascii="宋体" w:hAnsi="宋体" w:eastAsia="宋体"/>
                <w:sz w:val="21"/>
                <w:lang w:val="en-US" w:eastAsia="zh-CN"/>
              </w:rPr>
            </w:pPr>
            <w:r>
              <w:rPr>
                <w:rFonts w:hint="default" w:ascii="宋体" w:hAnsi="宋体" w:eastAsia="宋体"/>
                <w:sz w:val="21"/>
                <w:lang w:val="en-US" w:eastAsia="zh-CN"/>
              </w:rPr>
              <w:t>GB/T 26002-2010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right"/>
        </w:trPr>
        <w:tc>
          <w:tcPr>
            <w:tcW w:w="752" w:type="pct"/>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default" w:ascii="宋体" w:hAnsi="宋体" w:eastAsia="宋体"/>
                <w:sz w:val="21"/>
                <w:lang w:val="en-US" w:eastAsia="zh-CN"/>
              </w:rPr>
            </w:pPr>
            <w:r>
              <w:rPr>
                <w:rFonts w:hint="default" w:ascii="宋体" w:hAnsi="宋体" w:eastAsia="宋体"/>
                <w:sz w:val="21"/>
                <w:lang w:val="en-US" w:eastAsia="zh-CN"/>
              </w:rPr>
              <w:t>6</w:t>
            </w:r>
          </w:p>
        </w:tc>
        <w:tc>
          <w:tcPr>
            <w:tcW w:w="1519" w:type="pct"/>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default" w:ascii="宋体" w:hAnsi="宋体" w:eastAsia="宋体"/>
                <w:sz w:val="21"/>
                <w:lang w:val="en-US" w:eastAsia="zh-CN"/>
              </w:rPr>
            </w:pPr>
            <w:r>
              <w:rPr>
                <w:rFonts w:hint="default" w:ascii="宋体" w:hAnsi="宋体" w:eastAsia="宋体"/>
                <w:sz w:val="21"/>
                <w:lang w:val="en-US" w:eastAsia="zh-CN"/>
              </w:rPr>
              <w:t>软管阻燃性</w:t>
            </w:r>
          </w:p>
        </w:tc>
        <w:tc>
          <w:tcPr>
            <w:tcW w:w="1307" w:type="pct"/>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default" w:ascii="宋体" w:hAnsi="宋体" w:eastAsia="宋体"/>
                <w:sz w:val="21"/>
                <w:lang w:val="en-US" w:eastAsia="zh-CN"/>
              </w:rPr>
            </w:pPr>
            <w:r>
              <w:rPr>
                <w:rFonts w:hint="default" w:ascii="宋体" w:hAnsi="宋体" w:eastAsia="宋体"/>
                <w:sz w:val="21"/>
                <w:lang w:val="en-US" w:eastAsia="zh-CN"/>
              </w:rPr>
              <w:t>GB/T 26002-2010</w:t>
            </w:r>
          </w:p>
        </w:tc>
        <w:tc>
          <w:tcPr>
            <w:tcW w:w="1419" w:type="pct"/>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default" w:ascii="宋体" w:hAnsi="宋体" w:eastAsia="宋体"/>
                <w:sz w:val="21"/>
                <w:lang w:val="en-US" w:eastAsia="zh-CN"/>
              </w:rPr>
            </w:pPr>
            <w:r>
              <w:rPr>
                <w:rFonts w:hint="default" w:ascii="宋体" w:hAnsi="宋体" w:eastAsia="宋体"/>
                <w:sz w:val="21"/>
                <w:lang w:val="en-US" w:eastAsia="zh-CN"/>
              </w:rPr>
              <w:t>GB/T 26002-2010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right"/>
        </w:trPr>
        <w:tc>
          <w:tcPr>
            <w:tcW w:w="752" w:type="pct"/>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default" w:ascii="宋体" w:hAnsi="宋体" w:eastAsia="宋体"/>
                <w:sz w:val="21"/>
                <w:lang w:val="en-US" w:eastAsia="zh-CN"/>
              </w:rPr>
            </w:pPr>
            <w:r>
              <w:rPr>
                <w:rFonts w:hint="default" w:ascii="宋体" w:hAnsi="宋体" w:eastAsia="宋体"/>
                <w:sz w:val="21"/>
                <w:lang w:val="en-US" w:eastAsia="zh-CN"/>
              </w:rPr>
              <w:t>7</w:t>
            </w:r>
          </w:p>
        </w:tc>
        <w:tc>
          <w:tcPr>
            <w:tcW w:w="1519" w:type="pct"/>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default" w:ascii="宋体" w:hAnsi="宋体" w:eastAsia="宋体"/>
                <w:sz w:val="21"/>
                <w:lang w:val="en-US" w:eastAsia="zh-CN"/>
              </w:rPr>
            </w:pPr>
            <w:r>
              <w:rPr>
                <w:rFonts w:hint="default" w:ascii="宋体" w:hAnsi="宋体" w:eastAsia="宋体"/>
                <w:sz w:val="21"/>
                <w:lang w:val="en-US" w:eastAsia="zh-CN"/>
              </w:rPr>
              <w:t>标志</w:t>
            </w:r>
          </w:p>
        </w:tc>
        <w:tc>
          <w:tcPr>
            <w:tcW w:w="1307" w:type="pct"/>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default" w:ascii="宋体" w:hAnsi="宋体" w:eastAsia="宋体"/>
                <w:sz w:val="21"/>
                <w:lang w:val="en-US" w:eastAsia="zh-CN"/>
              </w:rPr>
            </w:pPr>
            <w:r>
              <w:rPr>
                <w:rFonts w:hint="default" w:ascii="宋体" w:hAnsi="宋体" w:eastAsia="宋体"/>
                <w:sz w:val="21"/>
                <w:lang w:val="en-US" w:eastAsia="zh-CN"/>
              </w:rPr>
              <w:t>GB/T 26002-2010</w:t>
            </w:r>
          </w:p>
        </w:tc>
        <w:tc>
          <w:tcPr>
            <w:tcW w:w="1419" w:type="pct"/>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default" w:ascii="宋体" w:hAnsi="宋体" w:eastAsia="宋体"/>
                <w:sz w:val="21"/>
                <w:lang w:val="en-US" w:eastAsia="zh-CN"/>
              </w:rPr>
            </w:pPr>
            <w:r>
              <w:rPr>
                <w:rFonts w:hint="default" w:ascii="宋体" w:hAnsi="宋体" w:eastAsia="宋体"/>
                <w:sz w:val="21"/>
                <w:lang w:val="en-US" w:eastAsia="zh-CN"/>
              </w:rPr>
              <w:t>GB/T 26002-2010</w:t>
            </w:r>
          </w:p>
        </w:tc>
      </w:tr>
    </w:tbl>
    <w:p>
      <w:pPr>
        <w:adjustRightInd w:val="0"/>
        <w:snapToGrid w:val="0"/>
        <w:spacing w:beforeLines="0" w:afterLines="0" w:line="440" w:lineRule="exact"/>
        <w:ind w:firstLine="420" w:firstLineChars="200"/>
        <w:jc w:val="center"/>
        <w:rPr>
          <w:rFonts w:hint="default" w:ascii="宋体" w:hAnsi="宋体" w:eastAsia="宋体"/>
          <w:sz w:val="21"/>
          <w:lang w:val="en-US" w:eastAsia="zh-CN"/>
        </w:rPr>
      </w:pPr>
      <w:r>
        <w:rPr>
          <w:rFonts w:hint="default" w:ascii="宋体" w:hAnsi="宋体" w:eastAsia="宋体"/>
          <w:sz w:val="21"/>
          <w:lang w:val="en-US" w:eastAsia="zh-CN"/>
        </w:rPr>
        <w:t>表1 燃气输送用不锈钢波纹软管及管件产品检验项目、依据、方法</w:t>
      </w:r>
    </w:p>
    <w:tbl>
      <w:tblPr>
        <w:tblStyle w:val="10"/>
        <w:tblW w:w="499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9"/>
        <w:gridCol w:w="2880"/>
        <w:gridCol w:w="2250"/>
        <w:gridCol w:w="23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9" w:hRule="atLeast"/>
          <w:jc w:val="center"/>
        </w:trPr>
        <w:tc>
          <w:tcPr>
            <w:tcW w:w="581" w:type="pct"/>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default" w:ascii="宋体" w:hAnsi="宋体" w:eastAsia="宋体"/>
                <w:sz w:val="21"/>
                <w:lang w:val="en-US" w:eastAsia="zh-CN"/>
              </w:rPr>
            </w:pPr>
            <w:r>
              <w:rPr>
                <w:rFonts w:hint="default" w:ascii="宋体" w:hAnsi="宋体" w:eastAsia="宋体"/>
                <w:sz w:val="21"/>
                <w:lang w:val="en-US" w:eastAsia="zh-CN"/>
              </w:rPr>
              <w:t>序号</w:t>
            </w:r>
          </w:p>
        </w:tc>
        <w:tc>
          <w:tcPr>
            <w:tcW w:w="1691" w:type="pct"/>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default" w:ascii="宋体" w:hAnsi="宋体" w:eastAsia="宋体"/>
                <w:sz w:val="21"/>
                <w:lang w:val="en-US" w:eastAsia="zh-CN"/>
              </w:rPr>
            </w:pPr>
            <w:r>
              <w:rPr>
                <w:rFonts w:hint="default" w:ascii="宋体" w:hAnsi="宋体" w:eastAsia="宋体"/>
                <w:sz w:val="21"/>
                <w:lang w:val="en-US" w:eastAsia="zh-CN"/>
              </w:rPr>
              <w:t>检验项目</w:t>
            </w:r>
          </w:p>
        </w:tc>
        <w:tc>
          <w:tcPr>
            <w:tcW w:w="1321" w:type="pct"/>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default" w:ascii="宋体" w:hAnsi="宋体" w:eastAsia="宋体"/>
                <w:sz w:val="21"/>
                <w:lang w:val="en-US" w:eastAsia="zh-CN"/>
              </w:rPr>
            </w:pPr>
            <w:r>
              <w:rPr>
                <w:rFonts w:hint="default" w:ascii="宋体" w:hAnsi="宋体" w:eastAsia="宋体"/>
                <w:sz w:val="21"/>
              </w:rPr>
              <w:t>依据标准</w:t>
            </w:r>
          </w:p>
        </w:tc>
        <w:tc>
          <w:tcPr>
            <w:tcW w:w="1405" w:type="pct"/>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default" w:ascii="宋体" w:hAnsi="宋体" w:eastAsia="宋体"/>
                <w:sz w:val="21"/>
                <w:lang w:val="en-US" w:eastAsia="zh-CN"/>
              </w:rPr>
            </w:pPr>
            <w:r>
              <w:rPr>
                <w:rFonts w:hint="default" w:ascii="宋体" w:hAnsi="宋体" w:eastAsia="宋体"/>
                <w:sz w:val="21"/>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81" w:type="pct"/>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default" w:ascii="宋体" w:hAnsi="宋体" w:eastAsia="宋体"/>
                <w:sz w:val="21"/>
                <w:lang w:val="en-US" w:eastAsia="zh-CN"/>
              </w:rPr>
            </w:pPr>
            <w:r>
              <w:rPr>
                <w:rFonts w:hint="default" w:ascii="宋体" w:hAnsi="宋体" w:eastAsia="宋体"/>
                <w:sz w:val="21"/>
                <w:lang w:val="en-US" w:eastAsia="zh-CN"/>
              </w:rPr>
              <w:t>1</w:t>
            </w:r>
          </w:p>
        </w:tc>
        <w:tc>
          <w:tcPr>
            <w:tcW w:w="1691" w:type="pct"/>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default" w:ascii="宋体" w:hAnsi="宋体" w:eastAsia="宋体"/>
                <w:sz w:val="21"/>
                <w:lang w:val="en-US" w:eastAsia="zh-CN"/>
              </w:rPr>
            </w:pPr>
            <w:r>
              <w:rPr>
                <w:rFonts w:hint="default" w:ascii="宋体" w:hAnsi="宋体" w:eastAsia="宋体"/>
                <w:sz w:val="21"/>
                <w:lang w:val="en-US" w:eastAsia="zh-CN"/>
              </w:rPr>
              <w:t>外观</w:t>
            </w:r>
          </w:p>
        </w:tc>
        <w:tc>
          <w:tcPr>
            <w:tcW w:w="1321" w:type="pct"/>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default" w:ascii="宋体" w:hAnsi="宋体" w:eastAsia="宋体"/>
                <w:sz w:val="21"/>
                <w:lang w:val="en-US" w:eastAsia="zh-CN"/>
              </w:rPr>
            </w:pPr>
            <w:r>
              <w:rPr>
                <w:rFonts w:hint="default" w:ascii="宋体" w:hAnsi="宋体" w:eastAsia="宋体"/>
                <w:sz w:val="21"/>
                <w:lang w:val="en-US" w:eastAsia="zh-CN"/>
              </w:rPr>
              <w:t>HG 2486-1993</w:t>
            </w:r>
          </w:p>
        </w:tc>
        <w:tc>
          <w:tcPr>
            <w:tcW w:w="1405" w:type="pct"/>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default" w:ascii="宋体" w:hAnsi="宋体" w:eastAsia="宋体"/>
                <w:sz w:val="21"/>
                <w:lang w:val="en-US" w:eastAsia="zh-CN"/>
              </w:rPr>
            </w:pPr>
            <w:r>
              <w:rPr>
                <w:rFonts w:hint="default" w:ascii="宋体" w:hAnsi="宋体" w:eastAsia="宋体"/>
                <w:sz w:val="21"/>
                <w:lang w:val="en-US" w:eastAsia="zh-CN"/>
              </w:rPr>
              <w:t>HG 2486-1993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81" w:type="pct"/>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default" w:ascii="宋体" w:hAnsi="宋体" w:eastAsia="宋体"/>
                <w:sz w:val="21"/>
                <w:lang w:val="en-US" w:eastAsia="zh-CN"/>
              </w:rPr>
            </w:pPr>
            <w:r>
              <w:rPr>
                <w:rFonts w:hint="default" w:ascii="宋体" w:hAnsi="宋体" w:eastAsia="宋体"/>
                <w:sz w:val="21"/>
                <w:lang w:val="en-US" w:eastAsia="zh-CN"/>
              </w:rPr>
              <w:t>2</w:t>
            </w:r>
          </w:p>
        </w:tc>
        <w:tc>
          <w:tcPr>
            <w:tcW w:w="1691" w:type="pct"/>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default" w:ascii="宋体" w:hAnsi="宋体" w:eastAsia="宋体"/>
                <w:sz w:val="21"/>
                <w:lang w:val="en-US" w:eastAsia="zh-CN"/>
              </w:rPr>
            </w:pPr>
            <w:r>
              <w:rPr>
                <w:rFonts w:hint="default" w:ascii="宋体" w:hAnsi="宋体" w:eastAsia="宋体"/>
                <w:sz w:val="21"/>
                <w:lang w:val="en-US" w:eastAsia="zh-CN"/>
              </w:rPr>
              <w:t>产品尺寸（公称内径公差和胶层厚度公差）</w:t>
            </w:r>
          </w:p>
        </w:tc>
        <w:tc>
          <w:tcPr>
            <w:tcW w:w="1321" w:type="pct"/>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default" w:ascii="宋体" w:hAnsi="宋体" w:eastAsia="宋体"/>
                <w:sz w:val="21"/>
                <w:lang w:val="en-US" w:eastAsia="zh-CN"/>
              </w:rPr>
            </w:pPr>
            <w:r>
              <w:rPr>
                <w:rFonts w:hint="default" w:ascii="宋体" w:hAnsi="宋体" w:eastAsia="宋体"/>
                <w:sz w:val="21"/>
                <w:lang w:val="en-US" w:eastAsia="zh-CN"/>
              </w:rPr>
              <w:t>HG 2486-1993</w:t>
            </w:r>
          </w:p>
        </w:tc>
        <w:tc>
          <w:tcPr>
            <w:tcW w:w="1405" w:type="pct"/>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default" w:ascii="宋体" w:hAnsi="宋体" w:eastAsia="宋体"/>
                <w:sz w:val="21"/>
                <w:lang w:val="en-US" w:eastAsia="zh-CN"/>
              </w:rPr>
            </w:pPr>
            <w:r>
              <w:rPr>
                <w:rFonts w:hint="default" w:ascii="宋体" w:hAnsi="宋体" w:eastAsia="宋体"/>
                <w:sz w:val="21"/>
                <w:lang w:val="en-US" w:eastAsia="zh-CN"/>
              </w:rPr>
              <w:t>HG 2486-1993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81" w:type="pct"/>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default" w:ascii="宋体" w:hAnsi="宋体" w:eastAsia="宋体"/>
                <w:sz w:val="21"/>
                <w:lang w:val="en-US" w:eastAsia="zh-CN"/>
              </w:rPr>
            </w:pPr>
            <w:r>
              <w:rPr>
                <w:rFonts w:hint="default" w:ascii="宋体" w:hAnsi="宋体" w:eastAsia="宋体"/>
                <w:sz w:val="21"/>
                <w:lang w:val="en-US" w:eastAsia="zh-CN"/>
              </w:rPr>
              <w:t>3</w:t>
            </w:r>
          </w:p>
        </w:tc>
        <w:tc>
          <w:tcPr>
            <w:tcW w:w="1691" w:type="pct"/>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default" w:ascii="宋体" w:hAnsi="宋体" w:eastAsia="宋体"/>
                <w:sz w:val="21"/>
                <w:lang w:val="en-US" w:eastAsia="zh-CN"/>
              </w:rPr>
            </w:pPr>
            <w:r>
              <w:rPr>
                <w:rFonts w:hint="default" w:ascii="宋体" w:hAnsi="宋体" w:eastAsia="宋体"/>
                <w:sz w:val="21"/>
                <w:lang w:val="en-US" w:eastAsia="zh-CN"/>
              </w:rPr>
              <w:t>软管的气密性试验</w:t>
            </w:r>
          </w:p>
        </w:tc>
        <w:tc>
          <w:tcPr>
            <w:tcW w:w="1321" w:type="pct"/>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default" w:ascii="宋体" w:hAnsi="宋体" w:eastAsia="宋体"/>
                <w:sz w:val="21"/>
                <w:lang w:val="en-US" w:eastAsia="zh-CN"/>
              </w:rPr>
            </w:pPr>
            <w:r>
              <w:rPr>
                <w:rFonts w:hint="default" w:ascii="宋体" w:hAnsi="宋体" w:eastAsia="宋体"/>
                <w:sz w:val="21"/>
                <w:lang w:val="en-US" w:eastAsia="zh-CN"/>
              </w:rPr>
              <w:t>HG 2486-1993</w:t>
            </w:r>
          </w:p>
        </w:tc>
        <w:tc>
          <w:tcPr>
            <w:tcW w:w="1405" w:type="pct"/>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default" w:ascii="宋体" w:hAnsi="宋体" w:eastAsia="宋体"/>
                <w:sz w:val="21"/>
                <w:lang w:val="en-US" w:eastAsia="zh-CN"/>
              </w:rPr>
            </w:pPr>
            <w:r>
              <w:rPr>
                <w:rFonts w:hint="default" w:ascii="宋体" w:hAnsi="宋体" w:eastAsia="宋体"/>
                <w:sz w:val="21"/>
                <w:lang w:val="en-US" w:eastAsia="zh-CN"/>
              </w:rPr>
              <w:t>HG 2486-1993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81" w:type="pct"/>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default" w:ascii="宋体" w:hAnsi="宋体" w:eastAsia="宋体"/>
                <w:sz w:val="21"/>
                <w:lang w:val="en-US" w:eastAsia="zh-CN"/>
              </w:rPr>
            </w:pPr>
            <w:r>
              <w:rPr>
                <w:rFonts w:hint="default" w:ascii="宋体" w:hAnsi="宋体" w:eastAsia="宋体"/>
                <w:sz w:val="21"/>
                <w:lang w:val="en-US" w:eastAsia="zh-CN"/>
              </w:rPr>
              <w:t>4</w:t>
            </w:r>
          </w:p>
        </w:tc>
        <w:tc>
          <w:tcPr>
            <w:tcW w:w="1691" w:type="pct"/>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default" w:ascii="宋体" w:hAnsi="宋体" w:eastAsia="宋体"/>
                <w:sz w:val="21"/>
                <w:lang w:val="en-US" w:eastAsia="zh-CN"/>
              </w:rPr>
            </w:pPr>
            <w:r>
              <w:rPr>
                <w:rFonts w:hint="default" w:ascii="宋体" w:hAnsi="宋体" w:eastAsia="宋体"/>
                <w:sz w:val="21"/>
                <w:lang w:val="en-US" w:eastAsia="zh-CN"/>
              </w:rPr>
              <w:t>耐压性能试验</w:t>
            </w:r>
          </w:p>
        </w:tc>
        <w:tc>
          <w:tcPr>
            <w:tcW w:w="1321" w:type="pct"/>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default" w:ascii="宋体" w:hAnsi="宋体" w:eastAsia="宋体"/>
                <w:sz w:val="21"/>
                <w:lang w:val="en-US" w:eastAsia="zh-CN"/>
              </w:rPr>
            </w:pPr>
            <w:r>
              <w:rPr>
                <w:rFonts w:hint="default" w:ascii="宋体" w:hAnsi="宋体" w:eastAsia="宋体"/>
                <w:sz w:val="21"/>
                <w:lang w:val="en-US" w:eastAsia="zh-CN"/>
              </w:rPr>
              <w:t>HG 2486-1993</w:t>
            </w:r>
          </w:p>
        </w:tc>
        <w:tc>
          <w:tcPr>
            <w:tcW w:w="1405" w:type="pct"/>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default" w:ascii="宋体" w:hAnsi="宋体" w:eastAsia="宋体"/>
                <w:sz w:val="21"/>
                <w:lang w:val="en-US" w:eastAsia="zh-CN"/>
              </w:rPr>
            </w:pPr>
            <w:r>
              <w:rPr>
                <w:rFonts w:hint="default" w:ascii="宋体" w:hAnsi="宋体" w:eastAsia="宋体"/>
                <w:sz w:val="21"/>
                <w:lang w:val="en-US" w:eastAsia="zh-CN"/>
              </w:rPr>
              <w:t>HG 2486-1993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81" w:type="pct"/>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default" w:ascii="宋体" w:hAnsi="宋体" w:eastAsia="宋体"/>
                <w:sz w:val="21"/>
                <w:lang w:val="en-US" w:eastAsia="zh-CN"/>
              </w:rPr>
            </w:pPr>
            <w:r>
              <w:rPr>
                <w:rFonts w:hint="default" w:ascii="宋体" w:hAnsi="宋体" w:eastAsia="宋体"/>
                <w:sz w:val="21"/>
                <w:lang w:val="en-US" w:eastAsia="zh-CN"/>
              </w:rPr>
              <w:t>5</w:t>
            </w:r>
          </w:p>
        </w:tc>
        <w:tc>
          <w:tcPr>
            <w:tcW w:w="1691" w:type="pct"/>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default" w:ascii="宋体" w:hAnsi="宋体" w:eastAsia="宋体"/>
                <w:sz w:val="21"/>
                <w:lang w:val="en-US" w:eastAsia="zh-CN"/>
              </w:rPr>
            </w:pPr>
            <w:r>
              <w:rPr>
                <w:rFonts w:hint="default" w:ascii="宋体" w:hAnsi="宋体" w:eastAsia="宋体"/>
                <w:sz w:val="21"/>
                <w:lang w:val="en-US" w:eastAsia="zh-CN"/>
              </w:rPr>
              <w:t>难燃试验（软管的耐燃试验）</w:t>
            </w:r>
          </w:p>
        </w:tc>
        <w:tc>
          <w:tcPr>
            <w:tcW w:w="1321" w:type="pct"/>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default" w:ascii="宋体" w:hAnsi="宋体" w:eastAsia="宋体"/>
                <w:sz w:val="21"/>
                <w:lang w:val="en-US" w:eastAsia="zh-CN"/>
              </w:rPr>
            </w:pPr>
            <w:r>
              <w:rPr>
                <w:rFonts w:hint="default" w:ascii="宋体" w:hAnsi="宋体" w:eastAsia="宋体"/>
                <w:sz w:val="21"/>
                <w:lang w:val="en-US" w:eastAsia="zh-CN"/>
              </w:rPr>
              <w:t>HG 2486-1993</w:t>
            </w:r>
          </w:p>
        </w:tc>
        <w:tc>
          <w:tcPr>
            <w:tcW w:w="1405" w:type="pct"/>
            <w:noWrap w:val="0"/>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default" w:ascii="宋体" w:hAnsi="宋体" w:eastAsia="宋体"/>
                <w:sz w:val="21"/>
                <w:lang w:val="en-US" w:eastAsia="zh-CN"/>
              </w:rPr>
            </w:pPr>
            <w:r>
              <w:rPr>
                <w:rFonts w:hint="default" w:ascii="宋体" w:hAnsi="宋体" w:eastAsia="宋体"/>
                <w:sz w:val="21"/>
                <w:lang w:val="en-US" w:eastAsia="zh-CN"/>
              </w:rPr>
              <w:t>HG 2486-1993</w:t>
            </w:r>
          </w:p>
        </w:tc>
      </w:tr>
    </w:tbl>
    <w:p>
      <w:pPr>
        <w:adjustRightInd w:val="0"/>
        <w:snapToGrid w:val="0"/>
        <w:spacing w:beforeLines="0" w:afterLines="0" w:line="440" w:lineRule="exact"/>
        <w:ind w:firstLine="420" w:firstLineChars="200"/>
        <w:jc w:val="center"/>
        <w:rPr>
          <w:rFonts w:hint="default" w:ascii="宋体" w:hAnsi="宋体" w:eastAsia="宋体"/>
          <w:sz w:val="21"/>
          <w:lang w:val="en-US" w:eastAsia="zh-CN"/>
        </w:rPr>
      </w:pPr>
      <w:r>
        <w:rPr>
          <w:rFonts w:hint="default" w:ascii="宋体" w:hAnsi="宋体" w:eastAsia="宋体"/>
          <w:sz w:val="21"/>
          <w:lang w:val="en-US" w:eastAsia="zh-CN"/>
        </w:rPr>
        <w:t>表2 家用煤气软管产品检验项目、依据、方法</w:t>
      </w:r>
    </w:p>
    <w:p>
      <w:pPr>
        <w:adjustRightInd w:val="0"/>
        <w:snapToGrid w:val="0"/>
        <w:spacing w:line="360" w:lineRule="auto"/>
        <w:ind w:firstLine="420" w:firstLineChars="200"/>
        <w:jc w:val="left"/>
        <w:rPr>
          <w:rFonts w:hint="default" w:ascii="宋体" w:hAnsi="宋体" w:eastAsia="宋体" w:cs="宋体"/>
          <w:sz w:val="21"/>
          <w:szCs w:val="21"/>
          <w:lang w:val="en-US" w:eastAsia="zh-CN"/>
        </w:rPr>
      </w:pPr>
    </w:p>
    <w:p>
      <w:pPr>
        <w:adjustRightInd w:val="0"/>
        <w:snapToGrid w:val="0"/>
        <w:spacing w:line="360" w:lineRule="auto"/>
        <w:ind w:firstLine="420" w:firstLineChars="200"/>
        <w:jc w:val="left"/>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执行企业标准、团体标准、地方标准的产品，检验项目参照上述内容执行。</w:t>
      </w:r>
    </w:p>
    <w:p>
      <w:pPr>
        <w:adjustRightInd w:val="0"/>
        <w:snapToGrid w:val="0"/>
        <w:spacing w:line="360" w:lineRule="auto"/>
        <w:ind w:firstLine="420" w:firstLineChars="200"/>
        <w:jc w:val="left"/>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凡是注日期的文件，其随后所有的修改单（不包括勘误的内容）或修订版不适用于本细则。凡是不注日期的文件，其最新版本适用于本细则。</w:t>
      </w:r>
    </w:p>
    <w:p>
      <w:pPr>
        <w:snapToGrid w:val="0"/>
        <w:spacing w:beforeLines="0" w:afterLines="0" w:line="440" w:lineRule="exact"/>
        <w:rPr>
          <w:rFonts w:hint="default" w:ascii="黑体" w:hAnsi="黑体" w:eastAsia="黑体"/>
          <w:sz w:val="21"/>
          <w:lang w:val="en-US" w:eastAsia="zh-CN"/>
        </w:rPr>
      </w:pPr>
      <w:r>
        <w:rPr>
          <w:rFonts w:hint="default" w:ascii="黑体" w:hAnsi="黑体" w:eastAsia="黑体"/>
          <w:sz w:val="21"/>
          <w:lang w:val="en-US" w:eastAsia="zh-CN"/>
        </w:rPr>
        <w:t>3 判定规则</w:t>
      </w:r>
    </w:p>
    <w:p>
      <w:pPr>
        <w:spacing w:beforeLines="0" w:afterLines="0" w:line="440" w:lineRule="exact"/>
        <w:rPr>
          <w:rFonts w:hint="default" w:ascii="宋体" w:hAnsi="宋体" w:eastAsia="宋体"/>
          <w:sz w:val="21"/>
          <w:lang w:val="en-US" w:eastAsia="zh-CN"/>
        </w:rPr>
      </w:pPr>
      <w:r>
        <w:rPr>
          <w:rFonts w:hint="default" w:ascii="宋体" w:hAnsi="宋体" w:eastAsia="宋体"/>
          <w:sz w:val="21"/>
          <w:lang w:val="en-US" w:eastAsia="zh-CN"/>
        </w:rPr>
        <w:t xml:space="preserve">3.1依据标准 </w:t>
      </w:r>
    </w:p>
    <w:p>
      <w:pPr>
        <w:adjustRightInd w:val="0"/>
        <w:snapToGrid w:val="0"/>
        <w:spacing w:line="360" w:lineRule="auto"/>
        <w:ind w:firstLine="420" w:firstLineChars="200"/>
        <w:jc w:val="left"/>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GB/T 26002-2010 燃气输送用不锈钢波纹软管及管件</w:t>
      </w:r>
    </w:p>
    <w:p>
      <w:pPr>
        <w:adjustRightInd w:val="0"/>
        <w:snapToGrid w:val="0"/>
        <w:spacing w:line="360" w:lineRule="auto"/>
        <w:ind w:firstLine="420" w:firstLineChars="200"/>
        <w:jc w:val="left"/>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HG 2486-1993 家用煤气软管</w:t>
      </w:r>
    </w:p>
    <w:p>
      <w:pPr>
        <w:adjustRightInd w:val="0"/>
        <w:snapToGrid w:val="0"/>
        <w:spacing w:line="360" w:lineRule="auto"/>
        <w:ind w:firstLine="420" w:firstLineChars="200"/>
        <w:jc w:val="left"/>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现行有效的企业标准、团体标准、地方标准及产品明示质量要求</w:t>
      </w:r>
    </w:p>
    <w:p>
      <w:pPr>
        <w:spacing w:beforeLines="0" w:afterLines="0" w:line="440" w:lineRule="exact"/>
        <w:rPr>
          <w:rFonts w:hint="default" w:ascii="宋体" w:hAnsi="宋体" w:eastAsia="宋体"/>
          <w:sz w:val="21"/>
          <w:lang w:val="en-US" w:eastAsia="zh-CN"/>
        </w:rPr>
      </w:pPr>
      <w:bookmarkStart w:id="0" w:name="_GoBack"/>
      <w:r>
        <w:rPr>
          <w:rFonts w:hint="default" w:ascii="宋体" w:hAnsi="宋体" w:eastAsia="宋体"/>
          <w:sz w:val="21"/>
          <w:lang w:val="en-US" w:eastAsia="zh-CN"/>
        </w:rPr>
        <w:t>3.2判定原则</w:t>
      </w:r>
    </w:p>
    <w:bookmarkEnd w:id="0"/>
    <w:p>
      <w:pPr>
        <w:adjustRightInd w:val="0"/>
        <w:snapToGrid w:val="0"/>
        <w:spacing w:line="360" w:lineRule="auto"/>
        <w:ind w:firstLine="420" w:firstLineChars="200"/>
        <w:jc w:val="left"/>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经检验，检验项目全部合格，判定为被抽查产品所检项目未发现不合格；检验项目中任一项或一项以上不合格，判定为被抽查产品不合格。</w:t>
      </w:r>
    </w:p>
    <w:p>
      <w:pPr>
        <w:adjustRightInd w:val="0"/>
        <w:snapToGrid w:val="0"/>
        <w:spacing w:line="360" w:lineRule="auto"/>
        <w:ind w:firstLine="420" w:firstLineChars="200"/>
        <w:jc w:val="left"/>
        <w:rPr>
          <w:rFonts w:hint="default" w:ascii="Times New Roman" w:hAnsi="Times New Roman" w:eastAsia="仿宋" w:cs="Times New Roman"/>
          <w:b w:val="0"/>
          <w:bCs w:val="0"/>
          <w:sz w:val="32"/>
          <w:szCs w:val="32"/>
          <w:lang w:val="en-US" w:eastAsia="zh-CN"/>
        </w:rPr>
      </w:pPr>
      <w:r>
        <w:rPr>
          <w:rFonts w:hint="default" w:ascii="宋体" w:hAnsi="宋体" w:eastAsia="宋体" w:cs="宋体"/>
          <w:sz w:val="21"/>
          <w:szCs w:val="21"/>
          <w:lang w:val="en-US" w:eastAsia="zh-CN"/>
        </w:rPr>
        <w:t>若被检产品明示的质量要求高于本细则中检验项目依据的标准要求时，应按被检产品明示的质量要求判定。</w:t>
      </w:r>
    </w:p>
    <w:p>
      <w:pPr>
        <w:adjustRightInd w:val="0"/>
        <w:snapToGrid w:val="0"/>
        <w:spacing w:line="360" w:lineRule="auto"/>
        <w:ind w:firstLine="420" w:firstLineChars="200"/>
        <w:jc w:val="left"/>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若被检产品明示的质量要求低于本细则中检验项目依据的强制性标准要求时，应按照强制性标准要求判定。</w:t>
      </w:r>
    </w:p>
    <w:p>
      <w:pPr>
        <w:adjustRightInd w:val="0"/>
        <w:snapToGrid w:val="0"/>
        <w:spacing w:line="360" w:lineRule="auto"/>
        <w:ind w:firstLine="420" w:firstLineChars="200"/>
        <w:jc w:val="left"/>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若被检产品明示的质量要求低于或包含本细则中检验项目依据的推荐性标准要求时，应以被检产品明示的质量要求判定。</w:t>
      </w:r>
    </w:p>
    <w:p>
      <w:pPr>
        <w:adjustRightInd w:val="0"/>
        <w:snapToGrid w:val="0"/>
        <w:spacing w:line="360" w:lineRule="auto"/>
        <w:ind w:firstLine="420" w:firstLineChars="200"/>
        <w:jc w:val="left"/>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若被检产品明示的质量要求缺少本细则中检验项目依据的强制性标准要求时，应按照强制性标准要求判定。</w:t>
      </w:r>
    </w:p>
    <w:p>
      <w:pPr>
        <w:adjustRightInd w:val="0"/>
        <w:snapToGrid w:val="0"/>
        <w:spacing w:line="360" w:lineRule="auto"/>
        <w:ind w:firstLine="420" w:firstLineChars="200"/>
        <w:jc w:val="left"/>
        <w:rPr>
          <w:rFonts w:hint="default" w:ascii="Times New Roman" w:hAnsi="Times New Roman" w:eastAsia="仿宋" w:cs="Times New Roman"/>
          <w:b w:val="0"/>
          <w:bCs w:val="0"/>
          <w:sz w:val="32"/>
          <w:szCs w:val="32"/>
          <w:lang w:val="en-US" w:eastAsia="zh-CN"/>
        </w:rPr>
      </w:pPr>
      <w:r>
        <w:rPr>
          <w:rFonts w:hint="default" w:ascii="宋体" w:hAnsi="宋体" w:eastAsia="宋体" w:cs="宋体"/>
          <w:sz w:val="21"/>
          <w:szCs w:val="21"/>
          <w:lang w:val="en-US" w:eastAsia="zh-CN"/>
        </w:rPr>
        <w:t>若被检产品明示的质量要求缺少本细则中检验项目依据的推荐性标准要求时，该项目不参与判定。</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86"/>
    <w:family w:val="auto"/>
    <w:pitch w:val="default"/>
    <w:sig w:usb0="00000000" w:usb1="00000000" w:usb2="00000009" w:usb3="00000000" w:csb0="400001FF" w:csb1="FFFF0000"/>
  </w:font>
  <w:font w:name="宋体">
    <w:panose1 w:val="02010600030101010101"/>
    <w:charset w:val="7A"/>
    <w:family w:val="auto"/>
    <w:pitch w:val="default"/>
    <w:sig w:usb0="00000003" w:usb1="080E0000" w:usb2="00000000" w:usb3="00000000" w:csb0="00040001" w:csb1="00000000"/>
  </w:font>
  <w:font w:name="Wingdings">
    <w:altName w:val="宋体-PUA"/>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宋体-PUA"/>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幼圆">
    <w:panose1 w:val="02010509060101010101"/>
    <w:charset w:val="86"/>
    <w:family w:val="swiss"/>
    <w:pitch w:val="default"/>
    <w:sig w:usb0="00000001" w:usb1="080E0000" w:usb2="00000000" w:usb3="00000000" w:csb0="00040000" w:csb1="00000000"/>
  </w:font>
  <w:font w:name="汉鼎简书宋二">
    <w:altName w:val="宋体"/>
    <w:panose1 w:val="00000000000000000000"/>
    <w:charset w:val="86"/>
    <w:family w:val="swiss"/>
    <w:pitch w:val="default"/>
    <w:sig w:usb0="00000000" w:usb1="00000000" w:usb2="00000010" w:usb3="00000000" w:csb0="00040000" w:csb1="00000000"/>
  </w:font>
  <w:font w:name="仿宋">
    <w:altName w:val="微软雅黑"/>
    <w:panose1 w:val="02010609060101010101"/>
    <w:charset w:val="86"/>
    <w:family w:val="modern"/>
    <w:pitch w:val="default"/>
    <w:sig w:usb0="00000000" w:usb1="00000000" w:usb2="00000016" w:usb3="00000000" w:csb0="00040001" w:csb1="00000000"/>
  </w:font>
  <w:font w:name="Nimbus Roman No9 L">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0F3C52" w:usb2="00000016" w:usb3="00000000" w:csb0="0004001F" w:csb1="00000000"/>
  </w:font>
  <w:font w:name="宋体-PUA">
    <w:panose1 w:val="02010600030101010101"/>
    <w:charset w:val="86"/>
    <w:family w:val="auto"/>
    <w:pitch w:val="default"/>
    <w:sig w:usb0="00000000" w:usb1="1000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Style w:val="13"/>
                            </w:rPr>
                          </w:pPr>
                          <w:r>
                            <w:fldChar w:fldCharType="begin"/>
                          </w:r>
                          <w:r>
                            <w:rPr>
                              <w:rStyle w:val="13"/>
                            </w:rPr>
                            <w:instrText xml:space="preserve">PAGE  </w:instrText>
                          </w:r>
                          <w:r>
                            <w:fldChar w:fldCharType="separate"/>
                          </w:r>
                          <w:r>
                            <w:rPr>
                              <w:rStyle w:val="13"/>
                            </w:rPr>
                            <w:t>7</w:t>
                          </w:r>
                          <w:r>
                            <w:fldChar w:fldCharType="end"/>
                          </w: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BYAAABkcnMvUEsBAhQAFAAAAAgAh07iQLNJ&#10;WO7QAAAABQEAAA8AAAAAAAAAAQAgAAAAOAAAAGRycy9kb3ducmV2LnhtbFBLAQIUABQAAAAIAIdO&#10;4kCgF26zFQIAABkEAAAOAAAAAAAAAAEAIAAAADUBAABkcnMvZTJvRG9jLnhtbFBLBQYAAAAABgAG&#10;AFkBAAC8BQAAAAA=&#10;">
              <v:fill on="f" focussize="0,0"/>
              <v:stroke on="f" weight="0.5pt"/>
              <v:imagedata o:title=""/>
              <o:lock v:ext="edit" aspectratio="f"/>
              <v:textbox inset="0mm,0mm,0mm,0mm" style="mso-fit-shape-to-text:t;">
                <w:txbxContent>
                  <w:p>
                    <w:pPr>
                      <w:pStyle w:val="8"/>
                      <w:rPr>
                        <w:rStyle w:val="13"/>
                      </w:rPr>
                    </w:pPr>
                    <w:r>
                      <w:fldChar w:fldCharType="begin"/>
                    </w:r>
                    <w:r>
                      <w:rPr>
                        <w:rStyle w:val="13"/>
                      </w:rPr>
                      <w:instrText xml:space="preserve">PAGE  </w:instrText>
                    </w:r>
                    <w:r>
                      <w:fldChar w:fldCharType="separate"/>
                    </w:r>
                    <w:r>
                      <w:rPr>
                        <w:rStyle w:val="13"/>
                      </w:rPr>
                      <w:t>7</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center" w:y="1"/>
      <w:rPr>
        <w:rStyle w:val="13"/>
      </w:rPr>
    </w:pPr>
    <w:r>
      <w:fldChar w:fldCharType="begin"/>
    </w:r>
    <w:r>
      <w:rPr>
        <w:rStyle w:val="13"/>
      </w:rPr>
      <w:instrText xml:space="preserve">PAGE  </w:instrText>
    </w:r>
    <w:r>
      <w:fldChar w:fldCharType="end"/>
    </w:r>
  </w:p>
  <w:p>
    <w:pPr>
      <w:pStyle w:val="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WVhYTExOTI3ZGJhYmUxZWY5OTFjNzM4MDYyZGIyZDUifQ=="/>
    <w:docVar w:name="KSO_WPS_MARK_KEY" w:val="90fd2cc8-f6e4-4784-bb9e-1c30c2452c22"/>
  </w:docVars>
  <w:rsids>
    <w:rsidRoot w:val="00172A27"/>
    <w:rsid w:val="000062EA"/>
    <w:rsid w:val="00021543"/>
    <w:rsid w:val="00053572"/>
    <w:rsid w:val="00062E0B"/>
    <w:rsid w:val="000743E1"/>
    <w:rsid w:val="00083796"/>
    <w:rsid w:val="00083C81"/>
    <w:rsid w:val="000906AC"/>
    <w:rsid w:val="000A3CA4"/>
    <w:rsid w:val="000C7DEE"/>
    <w:rsid w:val="000E0052"/>
    <w:rsid w:val="00144E39"/>
    <w:rsid w:val="00174FD5"/>
    <w:rsid w:val="00187CFC"/>
    <w:rsid w:val="00192763"/>
    <w:rsid w:val="001C1142"/>
    <w:rsid w:val="001C516A"/>
    <w:rsid w:val="001E2582"/>
    <w:rsid w:val="00245F7D"/>
    <w:rsid w:val="0028538E"/>
    <w:rsid w:val="0028646B"/>
    <w:rsid w:val="002968AA"/>
    <w:rsid w:val="002B1BE3"/>
    <w:rsid w:val="00312FC1"/>
    <w:rsid w:val="00330639"/>
    <w:rsid w:val="003957D3"/>
    <w:rsid w:val="00396FDD"/>
    <w:rsid w:val="003B1343"/>
    <w:rsid w:val="003B6A67"/>
    <w:rsid w:val="003D1D78"/>
    <w:rsid w:val="003E3C15"/>
    <w:rsid w:val="003E6D26"/>
    <w:rsid w:val="003E6E59"/>
    <w:rsid w:val="003F554E"/>
    <w:rsid w:val="004034DC"/>
    <w:rsid w:val="00431A62"/>
    <w:rsid w:val="00484944"/>
    <w:rsid w:val="0049106A"/>
    <w:rsid w:val="004A32D7"/>
    <w:rsid w:val="004A6461"/>
    <w:rsid w:val="004A6DFE"/>
    <w:rsid w:val="004B772A"/>
    <w:rsid w:val="004C6FA9"/>
    <w:rsid w:val="004D3964"/>
    <w:rsid w:val="004F52A3"/>
    <w:rsid w:val="004F6F07"/>
    <w:rsid w:val="00534805"/>
    <w:rsid w:val="00540F6F"/>
    <w:rsid w:val="005520BC"/>
    <w:rsid w:val="005B2323"/>
    <w:rsid w:val="005E12F9"/>
    <w:rsid w:val="005E4EA7"/>
    <w:rsid w:val="006052B1"/>
    <w:rsid w:val="00607A4D"/>
    <w:rsid w:val="00607B11"/>
    <w:rsid w:val="0061090E"/>
    <w:rsid w:val="00612980"/>
    <w:rsid w:val="00623D69"/>
    <w:rsid w:val="00650B24"/>
    <w:rsid w:val="00655CB7"/>
    <w:rsid w:val="00656311"/>
    <w:rsid w:val="0068142F"/>
    <w:rsid w:val="00682BF1"/>
    <w:rsid w:val="0068631C"/>
    <w:rsid w:val="006A7594"/>
    <w:rsid w:val="006B13A6"/>
    <w:rsid w:val="006B5503"/>
    <w:rsid w:val="006B6E74"/>
    <w:rsid w:val="006C2626"/>
    <w:rsid w:val="006D1664"/>
    <w:rsid w:val="006D2275"/>
    <w:rsid w:val="006F51D1"/>
    <w:rsid w:val="00744A8E"/>
    <w:rsid w:val="00746C43"/>
    <w:rsid w:val="00750994"/>
    <w:rsid w:val="007660A7"/>
    <w:rsid w:val="00771DAE"/>
    <w:rsid w:val="00785B48"/>
    <w:rsid w:val="007E0441"/>
    <w:rsid w:val="007E1AE0"/>
    <w:rsid w:val="007E2F2D"/>
    <w:rsid w:val="00802B25"/>
    <w:rsid w:val="00850096"/>
    <w:rsid w:val="008715E3"/>
    <w:rsid w:val="0088484A"/>
    <w:rsid w:val="008A58EA"/>
    <w:rsid w:val="008B2190"/>
    <w:rsid w:val="008B4497"/>
    <w:rsid w:val="008B562B"/>
    <w:rsid w:val="008E7AD6"/>
    <w:rsid w:val="008F67F2"/>
    <w:rsid w:val="009055BF"/>
    <w:rsid w:val="00905752"/>
    <w:rsid w:val="009073DA"/>
    <w:rsid w:val="009137B8"/>
    <w:rsid w:val="00931036"/>
    <w:rsid w:val="00943B80"/>
    <w:rsid w:val="0094615D"/>
    <w:rsid w:val="009504A6"/>
    <w:rsid w:val="00972071"/>
    <w:rsid w:val="009A14C8"/>
    <w:rsid w:val="009C563D"/>
    <w:rsid w:val="009D3E25"/>
    <w:rsid w:val="00A07EFD"/>
    <w:rsid w:val="00A41315"/>
    <w:rsid w:val="00A56B62"/>
    <w:rsid w:val="00A85176"/>
    <w:rsid w:val="00A92D15"/>
    <w:rsid w:val="00A953EB"/>
    <w:rsid w:val="00AA13DC"/>
    <w:rsid w:val="00AA5D56"/>
    <w:rsid w:val="00AC2DF6"/>
    <w:rsid w:val="00B15A72"/>
    <w:rsid w:val="00B233DA"/>
    <w:rsid w:val="00B2458C"/>
    <w:rsid w:val="00B24669"/>
    <w:rsid w:val="00B25B34"/>
    <w:rsid w:val="00B4442D"/>
    <w:rsid w:val="00B5333B"/>
    <w:rsid w:val="00BB5F2C"/>
    <w:rsid w:val="00BC59FD"/>
    <w:rsid w:val="00BD7F1B"/>
    <w:rsid w:val="00BF3EFC"/>
    <w:rsid w:val="00BF5A95"/>
    <w:rsid w:val="00C176C3"/>
    <w:rsid w:val="00C20350"/>
    <w:rsid w:val="00C3699E"/>
    <w:rsid w:val="00C50B8E"/>
    <w:rsid w:val="00C61ECE"/>
    <w:rsid w:val="00C65EE7"/>
    <w:rsid w:val="00C84B17"/>
    <w:rsid w:val="00C90478"/>
    <w:rsid w:val="00C97C56"/>
    <w:rsid w:val="00CB6511"/>
    <w:rsid w:val="00CC70D7"/>
    <w:rsid w:val="00CD674A"/>
    <w:rsid w:val="00CE23D6"/>
    <w:rsid w:val="00D64436"/>
    <w:rsid w:val="00D70706"/>
    <w:rsid w:val="00D740C5"/>
    <w:rsid w:val="00D963F9"/>
    <w:rsid w:val="00DA3E17"/>
    <w:rsid w:val="00DB5CE9"/>
    <w:rsid w:val="00DB76A0"/>
    <w:rsid w:val="00DD19A6"/>
    <w:rsid w:val="00DD702C"/>
    <w:rsid w:val="00E12139"/>
    <w:rsid w:val="00E13E0D"/>
    <w:rsid w:val="00E53A35"/>
    <w:rsid w:val="00E67220"/>
    <w:rsid w:val="00E72BEF"/>
    <w:rsid w:val="00E810EA"/>
    <w:rsid w:val="00E82EF3"/>
    <w:rsid w:val="00EA4853"/>
    <w:rsid w:val="00EA7430"/>
    <w:rsid w:val="00EC7A22"/>
    <w:rsid w:val="00ED5811"/>
    <w:rsid w:val="00EE07E3"/>
    <w:rsid w:val="00EE46D1"/>
    <w:rsid w:val="00EF028A"/>
    <w:rsid w:val="00EF3FD4"/>
    <w:rsid w:val="00F04BDD"/>
    <w:rsid w:val="00F06369"/>
    <w:rsid w:val="00F21A50"/>
    <w:rsid w:val="00F31222"/>
    <w:rsid w:val="00F32073"/>
    <w:rsid w:val="00F35E7A"/>
    <w:rsid w:val="00F50ED5"/>
    <w:rsid w:val="00F5556E"/>
    <w:rsid w:val="00F865FF"/>
    <w:rsid w:val="00F9051D"/>
    <w:rsid w:val="00FF5BCB"/>
    <w:rsid w:val="01214BEB"/>
    <w:rsid w:val="0F2C08D3"/>
    <w:rsid w:val="175C49A5"/>
    <w:rsid w:val="18556426"/>
    <w:rsid w:val="185D049A"/>
    <w:rsid w:val="18EB5C53"/>
    <w:rsid w:val="1BB43086"/>
    <w:rsid w:val="1F224A49"/>
    <w:rsid w:val="22A11868"/>
    <w:rsid w:val="23840ECE"/>
    <w:rsid w:val="29407A68"/>
    <w:rsid w:val="31040918"/>
    <w:rsid w:val="33EC4DB1"/>
    <w:rsid w:val="34BA3909"/>
    <w:rsid w:val="38FB0BB6"/>
    <w:rsid w:val="3C9A770A"/>
    <w:rsid w:val="3CE84FAF"/>
    <w:rsid w:val="3F5E0F5E"/>
    <w:rsid w:val="40FB7670"/>
    <w:rsid w:val="450E4F73"/>
    <w:rsid w:val="47440F1A"/>
    <w:rsid w:val="475D71C5"/>
    <w:rsid w:val="4D3651D7"/>
    <w:rsid w:val="51F24C5E"/>
    <w:rsid w:val="533C5297"/>
    <w:rsid w:val="579C1D99"/>
    <w:rsid w:val="67F71B53"/>
    <w:rsid w:val="6C6A00D7"/>
    <w:rsid w:val="6C817CE1"/>
    <w:rsid w:val="6E1F3ADC"/>
    <w:rsid w:val="6FFA011F"/>
    <w:rsid w:val="72192610"/>
    <w:rsid w:val="79BE50AB"/>
    <w:rsid w:val="7CE51726"/>
    <w:rsid w:val="7E5C334E"/>
    <w:rsid w:val="7F8C48B8"/>
    <w:rsid w:val="FF6F26F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2">
    <w:name w:val="Default Paragraph Font"/>
    <w:unhideWhenUsed/>
    <w:qFormat/>
    <w:uiPriority w:val="1"/>
  </w:style>
  <w:style w:type="table" w:default="1" w:styleId="10">
    <w:name w:val="Normal Table"/>
    <w:unhideWhenUsed/>
    <w:qFormat/>
    <w:uiPriority w:val="99"/>
    <w:tblPr>
      <w:tblCellMar>
        <w:top w:w="0" w:type="dxa"/>
        <w:left w:w="108" w:type="dxa"/>
        <w:bottom w:w="0" w:type="dxa"/>
        <w:right w:w="108" w:type="dxa"/>
      </w:tblCellMar>
    </w:tblPr>
  </w:style>
  <w:style w:type="paragraph" w:styleId="2">
    <w:name w:val="Document Map"/>
    <w:basedOn w:val="1"/>
    <w:unhideWhenUsed/>
    <w:qFormat/>
    <w:uiPriority w:val="99"/>
    <w:rPr>
      <w:rFonts w:ascii="宋体" w:hAnsi="宋体" w:cs="宋体"/>
      <w:sz w:val="18"/>
      <w:szCs w:val="18"/>
    </w:rPr>
  </w:style>
  <w:style w:type="paragraph" w:styleId="3">
    <w:name w:val="annotation text"/>
    <w:basedOn w:val="1"/>
    <w:link w:val="14"/>
    <w:unhideWhenUsed/>
    <w:qFormat/>
    <w:uiPriority w:val="99"/>
    <w:pPr>
      <w:jc w:val="left"/>
    </w:pPr>
  </w:style>
  <w:style w:type="paragraph" w:styleId="4">
    <w:name w:val="Plain Text"/>
    <w:basedOn w:val="1"/>
    <w:unhideWhenUsed/>
    <w:qFormat/>
    <w:uiPriority w:val="99"/>
    <w:rPr>
      <w:rFonts w:ascii="宋体" w:hAnsi="Courier New"/>
      <w:kern w:val="0"/>
      <w:sz w:val="20"/>
      <w:szCs w:val="20"/>
    </w:rPr>
  </w:style>
  <w:style w:type="paragraph" w:styleId="5">
    <w:name w:val="Date"/>
    <w:basedOn w:val="1"/>
    <w:next w:val="1"/>
    <w:link w:val="22"/>
    <w:qFormat/>
    <w:uiPriority w:val="0"/>
    <w:rPr>
      <w:rFonts w:ascii="幼圆" w:eastAsia="幼圆"/>
      <w:sz w:val="24"/>
      <w:szCs w:val="20"/>
    </w:rPr>
  </w:style>
  <w:style w:type="paragraph" w:styleId="6">
    <w:name w:val="Body Text Indent 2"/>
    <w:basedOn w:val="1"/>
    <w:qFormat/>
    <w:uiPriority w:val="0"/>
    <w:pPr>
      <w:ind w:firstLine="1080"/>
    </w:pPr>
    <w:rPr>
      <w:szCs w:val="20"/>
    </w:rPr>
  </w:style>
  <w:style w:type="paragraph" w:styleId="7">
    <w:name w:val="Balloon Text"/>
    <w:basedOn w:val="1"/>
    <w:link w:val="27"/>
    <w:unhideWhenUsed/>
    <w:qFormat/>
    <w:uiPriority w:val="99"/>
    <w:rPr>
      <w:sz w:val="18"/>
      <w:szCs w:val="18"/>
    </w:rPr>
  </w:style>
  <w:style w:type="paragraph" w:styleId="8">
    <w:name w:val="footer"/>
    <w:basedOn w:val="1"/>
    <w:link w:val="16"/>
    <w:unhideWhenUsed/>
    <w:qFormat/>
    <w:uiPriority w:val="0"/>
    <w:pPr>
      <w:tabs>
        <w:tab w:val="center" w:pos="4153"/>
        <w:tab w:val="right" w:pos="8306"/>
      </w:tabs>
      <w:snapToGrid w:val="0"/>
      <w:jc w:val="left"/>
    </w:pPr>
    <w:rPr>
      <w:sz w:val="18"/>
      <w:szCs w:val="18"/>
    </w:rPr>
  </w:style>
  <w:style w:type="paragraph" w:styleId="9">
    <w:name w:val="header"/>
    <w:basedOn w:val="1"/>
    <w:link w:val="15"/>
    <w:unhideWhenUsed/>
    <w:qFormat/>
    <w:uiPriority w:val="0"/>
    <w:pPr>
      <w:pBdr>
        <w:bottom w:val="single" w:color="auto" w:sz="6" w:space="1"/>
      </w:pBdr>
      <w:tabs>
        <w:tab w:val="center" w:pos="4153"/>
        <w:tab w:val="right" w:pos="8306"/>
      </w:tabs>
      <w:snapToGrid w:val="0"/>
      <w:jc w:val="center"/>
    </w:pPr>
    <w:rPr>
      <w:sz w:val="18"/>
      <w:szCs w:val="18"/>
    </w:rPr>
  </w:style>
  <w:style w:type="table" w:styleId="11">
    <w:name w:val="Table Grid"/>
    <w:basedOn w:val="10"/>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page number"/>
    <w:basedOn w:val="12"/>
    <w:qFormat/>
    <w:uiPriority w:val="0"/>
  </w:style>
  <w:style w:type="character" w:customStyle="1" w:styleId="14">
    <w:name w:val="批注文字 字符"/>
    <w:basedOn w:val="12"/>
    <w:link w:val="3"/>
    <w:qFormat/>
    <w:uiPriority w:val="99"/>
    <w:rPr>
      <w:kern w:val="2"/>
      <w:sz w:val="21"/>
      <w:szCs w:val="22"/>
    </w:rPr>
  </w:style>
  <w:style w:type="character" w:customStyle="1" w:styleId="15">
    <w:name w:val="页眉 字符1"/>
    <w:link w:val="9"/>
    <w:qFormat/>
    <w:uiPriority w:val="99"/>
    <w:rPr>
      <w:kern w:val="2"/>
      <w:sz w:val="18"/>
      <w:szCs w:val="18"/>
    </w:rPr>
  </w:style>
  <w:style w:type="character" w:customStyle="1" w:styleId="16">
    <w:name w:val="页脚 字符1"/>
    <w:link w:val="8"/>
    <w:qFormat/>
    <w:uiPriority w:val="99"/>
    <w:rPr>
      <w:kern w:val="2"/>
      <w:sz w:val="18"/>
      <w:szCs w:val="18"/>
    </w:rPr>
  </w:style>
  <w:style w:type="paragraph" w:customStyle="1" w:styleId="17">
    <w:name w:val="列出段落1"/>
    <w:basedOn w:val="1"/>
    <w:qFormat/>
    <w:uiPriority w:val="34"/>
    <w:pPr>
      <w:ind w:firstLine="420" w:firstLineChars="200"/>
    </w:pPr>
  </w:style>
  <w:style w:type="character" w:customStyle="1" w:styleId="18">
    <w:name w:val="页眉 字符"/>
    <w:qFormat/>
    <w:uiPriority w:val="99"/>
    <w:rPr>
      <w:sz w:val="18"/>
      <w:szCs w:val="18"/>
    </w:rPr>
  </w:style>
  <w:style w:type="character" w:customStyle="1" w:styleId="19">
    <w:name w:val="页脚 字符"/>
    <w:qFormat/>
    <w:uiPriority w:val="99"/>
    <w:rPr>
      <w:sz w:val="18"/>
      <w:szCs w:val="18"/>
    </w:rPr>
  </w:style>
  <w:style w:type="paragraph" w:customStyle="1" w:styleId="20">
    <w:name w:val="列出段落2"/>
    <w:basedOn w:val="1"/>
    <w:qFormat/>
    <w:uiPriority w:val="34"/>
    <w:pPr>
      <w:ind w:firstLine="420" w:firstLineChars="200"/>
    </w:pPr>
  </w:style>
  <w:style w:type="character" w:customStyle="1" w:styleId="21">
    <w:name w:val="apple-converted-space"/>
    <w:basedOn w:val="12"/>
    <w:qFormat/>
    <w:uiPriority w:val="0"/>
  </w:style>
  <w:style w:type="character" w:customStyle="1" w:styleId="22">
    <w:name w:val="日期 字符"/>
    <w:basedOn w:val="12"/>
    <w:link w:val="5"/>
    <w:qFormat/>
    <w:uiPriority w:val="0"/>
    <w:rPr>
      <w:rFonts w:ascii="幼圆" w:hAnsi="Times New Roman" w:eastAsia="幼圆"/>
      <w:kern w:val="2"/>
      <w:sz w:val="24"/>
    </w:rPr>
  </w:style>
  <w:style w:type="paragraph" w:customStyle="1" w:styleId="23">
    <w:name w:val="style2"/>
    <w:basedOn w:val="1"/>
    <w:qFormat/>
    <w:uiPriority w:val="0"/>
    <w:pPr>
      <w:widowControl/>
      <w:spacing w:before="100" w:beforeAutospacing="1" w:after="100" w:afterAutospacing="1"/>
      <w:jc w:val="left"/>
    </w:pPr>
    <w:rPr>
      <w:rFonts w:ascii="宋体" w:hAnsi="宋体" w:cs="宋体"/>
      <w:kern w:val="0"/>
      <w:sz w:val="24"/>
    </w:rPr>
  </w:style>
  <w:style w:type="character" w:customStyle="1" w:styleId="24">
    <w:name w:val="肥料正文 Char Char"/>
    <w:basedOn w:val="12"/>
    <w:link w:val="25"/>
    <w:qFormat/>
    <w:uiPriority w:val="0"/>
    <w:rPr>
      <w:rFonts w:eastAsia="汉鼎简书宋二"/>
      <w:snapToGrid w:val="0"/>
      <w:spacing w:val="2"/>
      <w:sz w:val="22"/>
      <w:szCs w:val="24"/>
    </w:rPr>
  </w:style>
  <w:style w:type="paragraph" w:customStyle="1" w:styleId="25">
    <w:name w:val="肥料正文"/>
    <w:basedOn w:val="1"/>
    <w:link w:val="24"/>
    <w:qFormat/>
    <w:uiPriority w:val="0"/>
    <w:pPr>
      <w:adjustRightInd w:val="0"/>
      <w:snapToGrid w:val="0"/>
      <w:spacing w:line="317" w:lineRule="auto"/>
      <w:ind w:firstLine="200" w:firstLineChars="200"/>
    </w:pPr>
    <w:rPr>
      <w:rFonts w:ascii="Calibri" w:hAnsi="Calibri" w:eastAsia="汉鼎简书宋二"/>
      <w:snapToGrid w:val="0"/>
      <w:spacing w:val="2"/>
      <w:kern w:val="0"/>
      <w:sz w:val="22"/>
    </w:rPr>
  </w:style>
  <w:style w:type="paragraph" w:customStyle="1" w:styleId="26">
    <w:name w:val="列表段落1"/>
    <w:basedOn w:val="1"/>
    <w:qFormat/>
    <w:uiPriority w:val="99"/>
    <w:pPr>
      <w:ind w:firstLine="420" w:firstLineChars="200"/>
    </w:pPr>
  </w:style>
  <w:style w:type="character" w:customStyle="1" w:styleId="27">
    <w:name w:val="批注框文本 字符"/>
    <w:basedOn w:val="12"/>
    <w:link w:val="7"/>
    <w:semiHidden/>
    <w:qFormat/>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Pages>
  <Words>848</Words>
  <Characters>1135</Characters>
  <Lines>32</Lines>
  <Paragraphs>9</Paragraphs>
  <TotalTime>1</TotalTime>
  <ScaleCrop>false</ScaleCrop>
  <LinksUpToDate>false</LinksUpToDate>
  <CharactersWithSpaces>1171</CharactersWithSpaces>
  <Application>WPS Office_11.8.2.10458_F1E327BC-269C-435d-A152-05C5408002CA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2023-08-16T16:47:00Z</dcterms:created>
  <dc:creator>微软用户</dc:creator>
  <cp:lastModifiedBy>user</cp:lastModifiedBy>
  <cp:lastPrinted>2020-12-10T16:46:00Z</cp:lastPrinted>
  <dcterms:modified xsi:type="dcterms:W3CDTF">2024-08-30T16:15:23Z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2052-11.8.2.10458</vt:lpwstr>
  </property>
  <property fmtid="{D5CDD505-2E9C-101B-9397-08002B2CF9AE}" pid="3" name="ICV">
    <vt:lpwstr>C19A603E4A4A4906B3E1318776884476</vt:lpwstr>
  </property>
</Properties>
</file>