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color w:val="000000"/>
          <w:sz w:val="44"/>
          <w:szCs w:val="44"/>
        </w:rPr>
      </w:pPr>
      <w:r>
        <w:rPr>
          <w:rFonts w:hint="eastAsia" w:ascii="黑体" w:hAnsi="宋体" w:eastAsia="黑体"/>
          <w:color w:val="000000"/>
          <w:sz w:val="52"/>
          <w:szCs w:val="52"/>
        </w:rPr>
        <w:t>赣州市产品质量监督抽查实施细则</w:t>
      </w:r>
    </w:p>
    <w:p>
      <w:pPr>
        <w:wordWrap w:val="0"/>
        <w:spacing w:before="240"/>
        <w:ind w:right="420"/>
        <w:jc w:val="right"/>
        <w:rPr>
          <w:rFonts w:ascii="黑体" w:hAnsi="宋体" w:eastAsia="黑体"/>
          <w:color w:val="000000"/>
          <w:sz w:val="28"/>
          <w:szCs w:val="28"/>
        </w:rPr>
      </w:pPr>
      <w:r>
        <w:rPr>
          <w:rFonts w:ascii="宋体" w:hAnsi="宋体"/>
          <w:color w:val="000000"/>
          <w:szCs w:val="21"/>
        </w:rPr>
        <mc:AlternateContent>
          <mc:Choice Requires="wps">
            <w:drawing>
              <wp:anchor distT="0" distB="0" distL="114300" distR="114300" simplePos="0" relativeHeight="251669504" behindDoc="0" locked="0" layoutInCell="1" allowOverlap="1">
                <wp:simplePos x="0" y="0"/>
                <wp:positionH relativeFrom="column">
                  <wp:posOffset>-123190</wp:posOffset>
                </wp:positionH>
                <wp:positionV relativeFrom="paragraph">
                  <wp:posOffset>501650</wp:posOffset>
                </wp:positionV>
                <wp:extent cx="52578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2578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9.7pt;margin-top:39.5pt;height:0.05pt;width:414pt;z-index:251669504;mso-width-relative:page;mso-height-relative:page;" filled="f" stroked="t" coordsize="21600,21600" o:gfxdata="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G0zibNcAAAAJAQAADwAAAAAAAAABACAAAAA4AAAAZHJzL2Rvd25yZXYueG1sUEsBAhQAFAAAAAgA&#10;h07iQNqmbW7XAQAAmgMAAA4AAAAAAAAAAQAgAAAAPAEAAGRycy9lMm9Eb2MueG1sUEsFBgAAAAAG&#10;AAYAWQEAAIUFAAAAAA==&#10;">
                <v:fill on="f" focussize="0,0"/>
                <v:stroke color="#000000" joinstyle="round"/>
                <v:imagedata o:title=""/>
                <o:lock v:ext="edit" aspectratio="f"/>
              </v:line>
            </w:pict>
          </mc:Fallback>
        </mc:AlternateContent>
      </w:r>
      <w:r>
        <w:rPr>
          <w:rFonts w:hint="eastAsia" w:ascii="黑体" w:hAnsi="宋体" w:eastAsia="黑体"/>
          <w:color w:val="000000"/>
          <w:sz w:val="28"/>
          <w:szCs w:val="28"/>
        </w:rPr>
        <w:t xml:space="preserve"> GZCCXZ </w:t>
      </w:r>
      <w:r>
        <w:rPr>
          <w:rFonts w:hint="eastAsia" w:ascii="黑体" w:hAnsi="宋体" w:eastAsia="黑体"/>
          <w:color w:val="000000"/>
          <w:sz w:val="28"/>
          <w:szCs w:val="28"/>
          <w:lang w:val="en-US" w:eastAsia="zh-CN"/>
        </w:rPr>
        <w:t>10</w:t>
      </w:r>
      <w:r>
        <w:rPr>
          <w:rFonts w:hint="eastAsia" w:ascii="黑体" w:hAnsi="宋体" w:eastAsia="黑体"/>
          <w:color w:val="000000"/>
          <w:sz w:val="28"/>
          <w:szCs w:val="28"/>
        </w:rPr>
        <w:t>-2024</w:t>
      </w:r>
    </w:p>
    <w:p>
      <w:pPr>
        <w:jc w:val="center"/>
        <w:rPr>
          <w:rFonts w:ascii="宋体" w:hAnsi="宋体"/>
          <w:color w:val="000000"/>
          <w:sz w:val="44"/>
          <w:szCs w:val="44"/>
          <w:highlight w:val="yellow"/>
        </w:rPr>
      </w:pPr>
    </w:p>
    <w:p>
      <w:pPr>
        <w:jc w:val="center"/>
        <w:rPr>
          <w:color w:val="000000"/>
          <w:sz w:val="44"/>
          <w:szCs w:val="44"/>
        </w:rPr>
      </w:pPr>
    </w:p>
    <w:p>
      <w:pPr>
        <w:jc w:val="center"/>
        <w:rPr>
          <w:color w:val="000000"/>
          <w:sz w:val="44"/>
          <w:szCs w:val="44"/>
        </w:rPr>
      </w:pPr>
    </w:p>
    <w:p>
      <w:pPr>
        <w:pStyle w:val="2"/>
      </w:pPr>
    </w:p>
    <w:p>
      <w:pPr>
        <w:jc w:val="center"/>
        <w:rPr>
          <w:color w:val="000000"/>
          <w:sz w:val="44"/>
          <w:szCs w:val="44"/>
        </w:rPr>
      </w:pPr>
    </w:p>
    <w:p>
      <w:pPr>
        <w:jc w:val="center"/>
        <w:rPr>
          <w:color w:val="000000"/>
          <w:sz w:val="44"/>
          <w:szCs w:val="44"/>
        </w:rPr>
      </w:pPr>
    </w:p>
    <w:p>
      <w:pPr>
        <w:jc w:val="center"/>
        <w:rPr>
          <w:rFonts w:ascii="黑体" w:hAnsi="宋体" w:eastAsia="黑体"/>
          <w:color w:val="000000"/>
          <w:sz w:val="52"/>
          <w:szCs w:val="52"/>
        </w:rPr>
      </w:pPr>
    </w:p>
    <w:p>
      <w:pPr>
        <w:jc w:val="center"/>
        <w:rPr>
          <w:color w:val="000000"/>
          <w:sz w:val="44"/>
          <w:szCs w:val="44"/>
        </w:rPr>
      </w:pPr>
      <w:r>
        <w:rPr>
          <w:rFonts w:hint="eastAsia" w:ascii="黑体" w:hAnsi="黑体" w:eastAsia="黑体" w:cs="黑体"/>
          <w:color w:val="000000"/>
          <w:sz w:val="52"/>
          <w:szCs w:val="52"/>
        </w:rPr>
        <w:t>电热毯、水暖毯</w:t>
      </w:r>
    </w:p>
    <w:p>
      <w:pPr>
        <w:pStyle w:val="2"/>
        <w:rPr>
          <w:color w:val="000000"/>
          <w:sz w:val="44"/>
          <w:szCs w:val="44"/>
        </w:rPr>
      </w:pPr>
    </w:p>
    <w:p>
      <w:pPr>
        <w:pStyle w:val="2"/>
        <w:rPr>
          <w:color w:val="000000"/>
          <w:sz w:val="44"/>
          <w:szCs w:val="44"/>
        </w:rPr>
      </w:pPr>
    </w:p>
    <w:p>
      <w:pPr>
        <w:pStyle w:val="2"/>
        <w:rPr>
          <w:color w:val="000000"/>
          <w:sz w:val="44"/>
          <w:szCs w:val="44"/>
        </w:rPr>
      </w:pPr>
    </w:p>
    <w:p>
      <w:pPr>
        <w:jc w:val="center"/>
        <w:rPr>
          <w:color w:val="000000"/>
          <w:sz w:val="44"/>
          <w:szCs w:val="44"/>
        </w:rPr>
      </w:pPr>
    </w:p>
    <w:p>
      <w:pPr>
        <w:pStyle w:val="2"/>
      </w:pPr>
    </w:p>
    <w:p>
      <w:pPr>
        <w:pStyle w:val="2"/>
      </w:pPr>
    </w:p>
    <w:p>
      <w:pPr>
        <w:rPr>
          <w:color w:val="000000"/>
          <w:sz w:val="44"/>
          <w:szCs w:val="44"/>
        </w:rPr>
      </w:pPr>
    </w:p>
    <w:p>
      <w:pPr>
        <w:rPr>
          <w:color w:val="000000"/>
          <w:sz w:val="44"/>
          <w:szCs w:val="44"/>
        </w:rPr>
      </w:pPr>
    </w:p>
    <w:p>
      <w:pPr>
        <w:pStyle w:val="2"/>
      </w:pPr>
    </w:p>
    <w:p>
      <w:pPr>
        <w:ind w:firstLine="140" w:firstLineChars="50"/>
        <w:rPr>
          <w:rFonts w:ascii="黑体" w:hAnsi="宋体" w:eastAsia="黑体"/>
          <w:color w:val="000000"/>
          <w:sz w:val="28"/>
          <w:szCs w:val="28"/>
          <w:highlight w:val="yellow"/>
        </w:rPr>
      </w:pPr>
      <w:r>
        <w:rPr>
          <w:rFonts w:hint="eastAsia" w:ascii="黑体" w:hAnsi="宋体" w:eastAsia="黑体"/>
          <w:spacing w:val="0"/>
          <w:w w:val="100"/>
          <w:sz w:val="28"/>
          <w:szCs w:val="28"/>
        </w:rPr>
        <w:t xml:space="preserve"> </w:t>
      </w:r>
      <w:r>
        <w:rPr>
          <w:rFonts w:hint="eastAsia" w:ascii="黑体" w:hAnsi="宋体" w:eastAsia="黑体"/>
          <w:color w:val="000000"/>
          <w:spacing w:val="0"/>
          <w:w w:val="100"/>
          <w:sz w:val="28"/>
          <w:szCs w:val="28"/>
        </w:rPr>
        <w:t>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 xml:space="preserve">发布                  </w:t>
      </w:r>
      <w:r>
        <w:rPr>
          <w:rFonts w:hint="eastAsia" w:ascii="黑体" w:hAnsi="宋体" w:eastAsia="黑体"/>
          <w:color w:val="000000"/>
          <w:spacing w:val="0"/>
          <w:w w:val="100"/>
          <w:sz w:val="28"/>
          <w:szCs w:val="28"/>
          <w:lang w:val="en-US" w:eastAsia="zh-CN"/>
        </w:rPr>
        <w:t xml:space="preserve">    </w:t>
      </w:r>
      <w:r>
        <w:rPr>
          <w:rFonts w:hint="eastAsia" w:ascii="黑体" w:hAnsi="宋体" w:eastAsia="黑体"/>
          <w:color w:val="000000"/>
          <w:spacing w:val="0"/>
          <w:w w:val="100"/>
          <w:sz w:val="28"/>
          <w:szCs w:val="28"/>
        </w:rPr>
        <w:t xml:space="preserve">  202</w:t>
      </w:r>
      <w:r>
        <w:rPr>
          <w:rFonts w:hint="eastAsia" w:ascii="黑体" w:hAnsi="宋体" w:eastAsia="黑体"/>
          <w:color w:val="000000"/>
          <w:spacing w:val="0"/>
          <w:w w:val="100"/>
          <w:sz w:val="28"/>
          <w:szCs w:val="28"/>
          <w:lang w:val="en-US" w:eastAsia="zh-CN"/>
        </w:rPr>
        <w:t>4</w:t>
      </w:r>
      <w:r>
        <w:rPr>
          <w:rFonts w:hint="eastAsia" w:ascii="黑体" w:hAnsi="宋体" w:eastAsia="黑体"/>
          <w:color w:val="000000"/>
          <w:spacing w:val="0"/>
          <w:w w:val="100"/>
          <w:sz w:val="28"/>
          <w:szCs w:val="28"/>
        </w:rPr>
        <w:t>—</w:t>
      </w:r>
      <w:r>
        <w:rPr>
          <w:rFonts w:hint="eastAsia" w:ascii="黑体" w:hAnsi="宋体" w:eastAsia="黑体"/>
          <w:color w:val="000000"/>
          <w:spacing w:val="0"/>
          <w:w w:val="100"/>
          <w:sz w:val="28"/>
          <w:szCs w:val="28"/>
          <w:lang w:val="en-US" w:eastAsia="zh-CN"/>
        </w:rPr>
        <w:t>0</w:t>
      </w:r>
      <w:r>
        <w:rPr>
          <w:rFonts w:hint="default" w:ascii="黑体" w:hAnsi="宋体" w:eastAsia="黑体"/>
          <w:color w:val="000000"/>
          <w:spacing w:val="0"/>
          <w:w w:val="100"/>
          <w:sz w:val="28"/>
          <w:szCs w:val="28"/>
          <w:lang w:val="en" w:eastAsia="zh-CN"/>
        </w:rPr>
        <w:t>8</w:t>
      </w:r>
      <w:r>
        <w:rPr>
          <w:rFonts w:hint="eastAsia" w:ascii="黑体" w:hAnsi="宋体" w:eastAsia="黑体"/>
          <w:color w:val="000000"/>
          <w:spacing w:val="0"/>
          <w:w w:val="100"/>
          <w:sz w:val="28"/>
          <w:szCs w:val="28"/>
        </w:rPr>
        <w:t>—</w:t>
      </w:r>
      <w:r>
        <w:rPr>
          <w:rFonts w:hint="default" w:ascii="黑体" w:hAnsi="宋体" w:eastAsia="黑体"/>
          <w:color w:val="000000"/>
          <w:spacing w:val="0"/>
          <w:w w:val="100"/>
          <w:sz w:val="28"/>
          <w:szCs w:val="28"/>
          <w:lang w:val="en" w:eastAsia="zh-CN"/>
        </w:rPr>
        <w:t>28</w:t>
      </w:r>
      <w:r>
        <w:rPr>
          <w:rFonts w:hint="eastAsia" w:ascii="黑体" w:hAnsi="宋体" w:eastAsia="黑体"/>
          <w:color w:val="000000"/>
          <w:spacing w:val="0"/>
          <w:w w:val="100"/>
          <w:sz w:val="28"/>
          <w:szCs w:val="28"/>
        </w:rPr>
        <w:t>实施</w:t>
      </w:r>
      <w:r>
        <w:rPr>
          <w:sz w:val="28"/>
        </w:rPr>
        <mc:AlternateContent>
          <mc:Choice Requires="wps">
            <w:drawing>
              <wp:anchor distT="0" distB="0" distL="114300" distR="114300" simplePos="0" relativeHeight="251670528" behindDoc="0" locked="0" layoutInCell="1" allowOverlap="1">
                <wp:simplePos x="0" y="0"/>
                <wp:positionH relativeFrom="column">
                  <wp:posOffset>132080</wp:posOffset>
                </wp:positionH>
                <wp:positionV relativeFrom="paragraph">
                  <wp:posOffset>368935</wp:posOffset>
                </wp:positionV>
                <wp:extent cx="5259705" cy="9525"/>
                <wp:effectExtent l="0" t="0" r="0" b="0"/>
                <wp:wrapNone/>
                <wp:docPr id="1" name="直接连接符 1"/>
                <wp:cNvGraphicFramePr/>
                <a:graphic xmlns:a="http://schemas.openxmlformats.org/drawingml/2006/main">
                  <a:graphicData uri="http://schemas.microsoft.com/office/word/2010/wordprocessingShape">
                    <wps:wsp>
                      <wps:cNvCnPr/>
                      <wps:spPr>
                        <a:xfrm flipV="true">
                          <a:off x="0" y="0"/>
                          <a:ext cx="5259705" cy="952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10.4pt;margin-top:29.05pt;height:0.75pt;width:414.15pt;z-index:251670528;mso-width-relative:page;mso-height-relative:page;" filled="f" stroked="t" coordsize="21600,21600" o:gfxdata="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FgAAAGRycy9QSwECFAAUAAAA&#10;CACHTuJAYSxDU9YAAAAIAQAADwAAAAAAAAABACAAAAA4AAAAZHJzL2Rvd25yZXYueG1sUEsBAhQA&#10;FAAAAAgAh07iQBriRZXeAQAAqAMAAA4AAAAAAAAAAQAgAAAAOwEAAGRycy9lMm9Eb2MueG1sUEsF&#10;BgAAAAAGAAYAWQEAAIsFAAAAAA==&#10;">
                <v:fill on="f" focussize="0,0"/>
                <v:stroke color="#000000" joinstyle="round"/>
                <v:imagedata o:title=""/>
                <o:lock v:ext="edit" aspectratio="f"/>
              </v:line>
            </w:pict>
          </mc:Fallback>
        </mc:AlternateContent>
      </w:r>
    </w:p>
    <w:p>
      <w:pPr>
        <w:ind w:firstLine="140" w:firstLineChars="50"/>
        <w:rPr>
          <w:rFonts w:ascii="黑体" w:hAnsi="宋体" w:eastAsia="黑体"/>
          <w:color w:val="000000"/>
          <w:sz w:val="28"/>
          <w:szCs w:val="28"/>
        </w:rPr>
      </w:pPr>
      <w:r>
        <w:rPr>
          <w:rFonts w:hint="eastAsia" w:ascii="黑体" w:hAnsi="宋体" w:eastAsia="黑体"/>
          <w:color w:val="000000"/>
          <w:sz w:val="28"/>
          <w:szCs w:val="28"/>
        </w:rPr>
        <w:t xml:space="preserve">           </w:t>
      </w:r>
    </w:p>
    <w:p>
      <w:pPr>
        <w:jc w:val="center"/>
        <w:rPr>
          <w:rFonts w:ascii="黑体" w:hAnsi="黑体" w:eastAsia="黑体" w:cs="黑体"/>
          <w:color w:val="000000"/>
          <w:sz w:val="52"/>
          <w:szCs w:val="52"/>
        </w:rPr>
      </w:pPr>
      <w:r>
        <w:rPr>
          <w:rFonts w:hint="eastAsia" w:ascii="黑体" w:hAnsi="黑体" w:eastAsia="黑体" w:cs="黑体"/>
          <w:color w:val="000000"/>
          <w:sz w:val="52"/>
          <w:szCs w:val="52"/>
        </w:rPr>
        <w:t>赣州市市场监督管理局</w:t>
      </w:r>
    </w:p>
    <w:p>
      <w:pPr>
        <w:adjustRightInd w:val="0"/>
        <w:snapToGrid w:val="0"/>
        <w:spacing w:line="360" w:lineRule="auto"/>
        <w:jc w:val="center"/>
        <w:rPr>
          <w:rFonts w:ascii="方正小标宋_GBK" w:hAnsi="方正小标宋_GBK" w:eastAsia="黑体" w:cs="方正小标宋_GBK"/>
          <w:sz w:val="32"/>
          <w:szCs w:val="32"/>
        </w:rPr>
      </w:pPr>
      <w:r>
        <w:rPr>
          <w:rFonts w:hint="eastAsia" w:ascii="黑体" w:hAnsi="黑体" w:eastAsia="黑体" w:cs="黑体"/>
          <w:b/>
          <w:bCs/>
          <w:sz w:val="32"/>
          <w:szCs w:val="32"/>
        </w:rPr>
        <w:t>电热毯、水暖毯产品质量监督抽查实施细则（2024）</w:t>
      </w:r>
    </w:p>
    <w:p>
      <w:pPr>
        <w:adjustRightInd w:val="0"/>
        <w:snapToGrid w:val="0"/>
        <w:spacing w:line="360" w:lineRule="auto"/>
        <w:ind w:firstLine="481" w:firstLineChars="200"/>
        <w:rPr>
          <w:rFonts w:ascii="宋体" w:hAnsi="宋体"/>
          <w:b/>
          <w:bCs/>
          <w:sz w:val="24"/>
        </w:rPr>
      </w:pPr>
    </w:p>
    <w:p>
      <w:pPr>
        <w:adjustRightInd w:val="0"/>
        <w:snapToGrid w:val="0"/>
        <w:spacing w:line="360" w:lineRule="auto"/>
        <w:rPr>
          <w:rFonts w:ascii="黑体" w:hAnsi="黑体" w:eastAsia="黑体" w:cs="黑体"/>
          <w:b/>
          <w:bCs/>
          <w:szCs w:val="21"/>
        </w:rPr>
      </w:pPr>
      <w:r>
        <w:rPr>
          <w:rFonts w:hint="eastAsia" w:ascii="黑体" w:hAnsi="黑体" w:eastAsia="黑体" w:cs="黑体"/>
          <w:b/>
          <w:bCs/>
          <w:szCs w:val="21"/>
        </w:rPr>
        <w:t>1.范围</w:t>
      </w:r>
    </w:p>
    <w:p>
      <w:pPr>
        <w:keepNext w:val="0"/>
        <w:keepLines w:val="0"/>
        <w:pageBreakBefore w:val="0"/>
        <w:widowControl w:val="0"/>
        <w:kinsoku/>
        <w:wordWrap/>
        <w:overflowPunct/>
        <w:topLinePunct w:val="0"/>
        <w:autoSpaceDE/>
        <w:autoSpaceDN/>
        <w:bidi w:val="0"/>
        <w:adjustRightInd w:val="0"/>
        <w:spacing w:line="360" w:lineRule="auto"/>
        <w:ind w:firstLine="420" w:firstLineChars="200"/>
        <w:jc w:val="both"/>
        <w:textAlignment w:val="auto"/>
      </w:pPr>
      <w:r>
        <w:rPr>
          <w:rFonts w:hint="eastAsia"/>
        </w:rPr>
        <w:t>本细则适用赣州市</w:t>
      </w:r>
      <w:r>
        <w:rPr>
          <w:rFonts w:hint="eastAsia" w:ascii="宋体" w:hAnsi="宋体" w:eastAsia="宋体" w:cs="宋体"/>
          <w:szCs w:val="21"/>
          <w:lang w:val="en-US" w:eastAsia="zh-CN"/>
        </w:rPr>
        <w:t>市场</w:t>
      </w:r>
      <w:r>
        <w:rPr>
          <w:rFonts w:hint="eastAsia"/>
        </w:rPr>
        <w:t>监督管理局组织的电热毯、水暖毯产品质量监督抽查。抽查产品范围包括：涉及家用和类似用途的、对床或人体进行加热的电热毯、水暖毯， 器具的额定电压不超过250V。</w:t>
      </w:r>
    </w:p>
    <w:p>
      <w:pPr>
        <w:snapToGrid w:val="0"/>
        <w:spacing w:line="440" w:lineRule="exact"/>
        <w:ind w:firstLine="417" w:firstLineChars="199"/>
      </w:pPr>
      <w:r>
        <w:rPr>
          <w:rFonts w:hint="eastAsia"/>
        </w:rPr>
        <w:t>本细则包括抽样方法、检验依据、判定规则、异议处理等。</w:t>
      </w:r>
    </w:p>
    <w:p>
      <w:pPr>
        <w:snapToGrid w:val="0"/>
        <w:spacing w:line="440" w:lineRule="exact"/>
        <w:rPr>
          <w:rFonts w:hint="default" w:ascii="黑体" w:hAnsi="黑体" w:eastAsia="黑体" w:cs="Times New Roman"/>
          <w:szCs w:val="24"/>
          <w:lang w:val="en-US" w:eastAsia="zh-CN"/>
        </w:rPr>
      </w:pPr>
      <w:r>
        <w:rPr>
          <w:rFonts w:hint="eastAsia" w:ascii="黑体" w:hAnsi="黑体" w:eastAsia="黑体" w:cs="Times New Roman"/>
          <w:szCs w:val="24"/>
          <w:lang w:val="en-US" w:eastAsia="zh-CN"/>
        </w:rPr>
        <w:t>1 抽样方法</w:t>
      </w:r>
    </w:p>
    <w:p>
      <w:pPr>
        <w:snapToGrid w:val="0"/>
        <w:spacing w:line="440" w:lineRule="exact"/>
        <w:ind w:firstLine="417" w:firstLineChars="199"/>
      </w:pPr>
      <w:r>
        <w:rPr>
          <w:rFonts w:hint="eastAsia" w:ascii="宋体" w:hAnsi="宋体"/>
          <w:color w:val="000000"/>
        </w:rPr>
        <w:t>抽查产品包括：</w:t>
      </w:r>
      <w:r>
        <w:rPr>
          <w:rFonts w:hint="eastAsia"/>
        </w:rPr>
        <w:t>涉及家用和类似用途的、对床或人体进行加热的电热毯、水暖毯， 器具的额定电压不超过250V。</w:t>
      </w:r>
    </w:p>
    <w:p>
      <w:pPr>
        <w:snapToGrid w:val="0"/>
        <w:spacing w:line="440" w:lineRule="exact"/>
        <w:ind w:firstLine="417" w:firstLineChars="199"/>
        <w:rPr>
          <w:rFonts w:ascii="宋体" w:hAnsi="宋体"/>
          <w:color w:val="000000"/>
        </w:rPr>
      </w:pPr>
      <w:r>
        <w:rPr>
          <w:rFonts w:hint="eastAsia" w:ascii="宋体" w:hAnsi="宋体"/>
          <w:color w:val="000000"/>
        </w:rPr>
        <w:t>以随机抽样的方式在生产企业的成品库中随机抽取有产品质量检验合格证明或者以其他形式表明合格的产品。</w:t>
      </w:r>
    </w:p>
    <w:p>
      <w:pPr>
        <w:snapToGrid w:val="0"/>
        <w:spacing w:line="440" w:lineRule="exact"/>
        <w:ind w:firstLine="417" w:firstLineChars="199"/>
        <w:rPr>
          <w:rFonts w:ascii="宋体" w:hAnsi="宋体"/>
          <w:color w:val="000000"/>
        </w:rPr>
      </w:pPr>
      <w:r>
        <w:rPr>
          <w:rFonts w:hint="eastAsia" w:ascii="宋体" w:hAnsi="宋体"/>
          <w:color w:val="000000"/>
        </w:rPr>
        <w:t>随机数一般可使用随机数表、随机数骰子或扑克牌等方法产生。</w:t>
      </w:r>
    </w:p>
    <w:p>
      <w:pPr>
        <w:snapToGrid w:val="0"/>
        <w:spacing w:line="440" w:lineRule="exact"/>
        <w:ind w:firstLine="417" w:firstLineChars="199"/>
        <w:rPr>
          <w:rFonts w:ascii="宋体" w:hAnsi="宋体"/>
          <w:color w:val="000000"/>
        </w:rPr>
      </w:pPr>
      <w:r>
        <w:rPr>
          <w:rFonts w:hint="eastAsia" w:ascii="宋体" w:hAnsi="宋体"/>
          <w:color w:val="000000"/>
        </w:rPr>
        <w:t>抽查样品基数满足抽样数量即可。</w:t>
      </w:r>
    </w:p>
    <w:p>
      <w:pPr>
        <w:snapToGrid w:val="0"/>
        <w:spacing w:line="440" w:lineRule="exact"/>
        <w:ind w:firstLine="417" w:firstLineChars="199"/>
        <w:rPr>
          <w:rFonts w:ascii="宋体" w:hAnsi="宋体"/>
          <w:color w:val="000000"/>
        </w:rPr>
      </w:pPr>
      <w:r>
        <w:rPr>
          <w:rFonts w:hint="eastAsia" w:ascii="宋体" w:hAnsi="宋体"/>
          <w:color w:val="000000"/>
        </w:rPr>
        <w:t>抽样方法按</w:t>
      </w:r>
      <w:r>
        <w:rPr>
          <w:rFonts w:ascii="宋体" w:hAnsi="宋体"/>
          <w:color w:val="000000"/>
        </w:rPr>
        <w:t>GB 4706.1-2005</w:t>
      </w:r>
      <w:r>
        <w:rPr>
          <w:rFonts w:hint="eastAsia" w:ascii="宋体" w:hAnsi="宋体"/>
          <w:color w:val="000000"/>
        </w:rPr>
        <w:t>的规定执行，</w:t>
      </w:r>
      <w:r>
        <w:rPr>
          <w:rFonts w:ascii="宋体" w:hAnsi="宋体"/>
          <w:color w:val="000000"/>
        </w:rPr>
        <w:t>每批次抽样数量</w:t>
      </w:r>
      <w:r>
        <w:rPr>
          <w:rFonts w:hint="eastAsia" w:ascii="宋体" w:hAnsi="宋体"/>
          <w:color w:val="000000"/>
        </w:rPr>
        <w:t>2个</w:t>
      </w:r>
      <w:r>
        <w:rPr>
          <w:rFonts w:ascii="宋体" w:hAnsi="宋体"/>
          <w:color w:val="000000"/>
        </w:rPr>
        <w:t>，其中</w:t>
      </w:r>
      <w:r>
        <w:rPr>
          <w:rFonts w:hint="eastAsia" w:ascii="宋体" w:hAnsi="宋体"/>
          <w:color w:val="000000"/>
        </w:rPr>
        <w:t>1个</w:t>
      </w:r>
      <w:r>
        <w:rPr>
          <w:rFonts w:ascii="宋体" w:hAnsi="宋体"/>
          <w:color w:val="000000"/>
        </w:rPr>
        <w:t>作为检验样品，</w:t>
      </w:r>
      <w:r>
        <w:rPr>
          <w:rFonts w:hint="eastAsia" w:ascii="宋体" w:hAnsi="宋体"/>
          <w:color w:val="000000"/>
        </w:rPr>
        <w:t>1个</w:t>
      </w:r>
      <w:r>
        <w:rPr>
          <w:rFonts w:ascii="宋体" w:hAnsi="宋体"/>
          <w:color w:val="000000"/>
        </w:rPr>
        <w:t>作为备用样品。</w:t>
      </w:r>
    </w:p>
    <w:p>
      <w:pPr>
        <w:snapToGrid w:val="0"/>
        <w:spacing w:line="440" w:lineRule="exact"/>
        <w:ind w:firstLine="417" w:firstLineChars="199"/>
        <w:rPr>
          <w:rFonts w:ascii="黑体" w:hAnsi="黑体" w:eastAsia="黑体"/>
        </w:rPr>
      </w:pPr>
    </w:p>
    <w:p>
      <w:pPr>
        <w:snapToGrid w:val="0"/>
        <w:spacing w:line="440" w:lineRule="exact"/>
        <w:rPr>
          <w:rFonts w:ascii="黑体" w:hAnsi="黑体" w:eastAsia="黑体"/>
        </w:rPr>
      </w:pPr>
      <w:r>
        <w:rPr>
          <w:rFonts w:hint="eastAsia" w:ascii="黑体" w:hAnsi="黑体" w:eastAsia="黑体"/>
        </w:rPr>
        <w:t>2 检验依据</w:t>
      </w:r>
    </w:p>
    <w:tbl>
      <w:tblPr>
        <w:tblStyle w:val="8"/>
        <w:tblW w:w="8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92"/>
        <w:gridCol w:w="4033"/>
        <w:gridCol w:w="2175"/>
        <w:gridCol w:w="21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序号</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检验项目</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依据标准</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检验方法</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1</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对触及带电部件的防护</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2</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输入功率和电流</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5"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3</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耐潮湿</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4</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泄漏电流和电气强度</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5</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结构（不包括第 22.46 条的试验）</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6</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电源连接和外部软线</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592"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7</w:t>
            </w:r>
          </w:p>
        </w:tc>
        <w:tc>
          <w:tcPr>
            <w:tcW w:w="4033"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eastAsia" w:ascii="宋体" w:hAnsi="宋体" w:eastAsia="宋体" w:cs="Times New Roman"/>
                <w:szCs w:val="24"/>
              </w:rPr>
              <w:t>电气间隙、爬电距离和固体绝缘</w:t>
            </w:r>
          </w:p>
        </w:tc>
        <w:tc>
          <w:tcPr>
            <w:tcW w:w="2175"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c>
          <w:tcPr>
            <w:tcW w:w="2174" w:type="dxa"/>
            <w:tcBorders>
              <w:top w:val="single" w:color="000000" w:sz="6" w:space="0"/>
              <w:left w:val="single" w:color="000000" w:sz="6" w:space="0"/>
              <w:bottom w:val="single" w:color="000000" w:sz="6" w:space="0"/>
              <w:right w:val="single" w:color="000000" w:sz="6" w:space="0"/>
              <w:tl2br w:val="nil"/>
              <w:tr2bl w:val="nil"/>
            </w:tcBorders>
            <w:vAlign w:val="center"/>
          </w:tcPr>
          <w:p>
            <w:pPr>
              <w:jc w:val="center"/>
              <w:rPr>
                <w:rFonts w:hint="default" w:ascii="宋体" w:hAnsi="宋体" w:eastAsia="宋体" w:cs="Times New Roman"/>
                <w:szCs w:val="24"/>
              </w:rPr>
            </w:pPr>
            <w:r>
              <w:rPr>
                <w:rFonts w:hint="default" w:ascii="宋体" w:hAnsi="宋体" w:eastAsia="宋体" w:cs="Times New Roman"/>
                <w:szCs w:val="24"/>
              </w:rPr>
              <w:t xml:space="preserve">GB 4706.1-2005 </w:t>
            </w:r>
            <w:r>
              <w:rPr>
                <w:rFonts w:hint="eastAsia" w:ascii="宋体" w:hAnsi="宋体" w:eastAsia="宋体" w:cs="Times New Roman"/>
                <w:szCs w:val="24"/>
              </w:rPr>
              <w:t xml:space="preserve">     </w:t>
            </w:r>
            <w:r>
              <w:rPr>
                <w:rFonts w:hint="default" w:ascii="宋体" w:hAnsi="宋体" w:eastAsia="宋体" w:cs="Times New Roman"/>
                <w:szCs w:val="24"/>
              </w:rPr>
              <w:t>GB 4706.8-2008</w:t>
            </w:r>
          </w:p>
        </w:tc>
      </w:tr>
    </w:tbl>
    <w:p>
      <w:pPr>
        <w:snapToGrid w:val="0"/>
        <w:spacing w:line="560" w:lineRule="exact"/>
        <w:jc w:val="center"/>
        <w:rPr>
          <w:rFonts w:hint="eastAsia" w:ascii="宋体" w:hAnsi="宋体"/>
        </w:rPr>
      </w:pPr>
      <w:r>
        <w:rPr>
          <w:rFonts w:hint="eastAsia" w:ascii="宋体" w:hAnsi="宋体"/>
        </w:rPr>
        <w:t>表1</w:t>
      </w:r>
      <w:r>
        <w:rPr>
          <w:rFonts w:hint="eastAsia"/>
        </w:rPr>
        <w:t>电热毯、水暖毯</w:t>
      </w:r>
      <w:r>
        <w:rPr>
          <w:rFonts w:hint="eastAsia" w:ascii="宋体" w:hAnsi="宋体"/>
        </w:rPr>
        <w:t>检验项目</w:t>
      </w:r>
    </w:p>
    <w:p>
      <w:pPr>
        <w:adjustRightInd w:val="0"/>
        <w:snapToGrid w:val="0"/>
        <w:spacing w:line="440" w:lineRule="exact"/>
        <w:ind w:firstLine="420" w:firstLineChars="200"/>
        <w:rPr>
          <w:rFonts w:ascii="宋体" w:hAnsi="宋体"/>
        </w:rPr>
      </w:pPr>
      <w:r>
        <w:rPr>
          <w:rFonts w:hint="eastAsia" w:ascii="宋体" w:hAnsi="宋体"/>
        </w:rPr>
        <w:t>执行企业标准、团体标准、地方标准的产品，检验项目参照上述内容执行。</w:t>
      </w:r>
    </w:p>
    <w:p>
      <w:pPr>
        <w:snapToGrid w:val="0"/>
        <w:spacing w:line="440" w:lineRule="exact"/>
        <w:ind w:firstLine="420" w:firstLineChars="200"/>
        <w:rPr>
          <w:rFonts w:ascii="宋体" w:hAnsi="宋体"/>
        </w:rPr>
      </w:pPr>
      <w:r>
        <w:rPr>
          <w:rFonts w:hint="eastAsia" w:ascii="宋体" w:hAnsi="宋体"/>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ascii="宋体" w:hAnsi="宋体"/>
        </w:rPr>
      </w:pPr>
    </w:p>
    <w:p>
      <w:pPr>
        <w:spacing w:line="440" w:lineRule="exact"/>
        <w:rPr>
          <w:rFonts w:ascii="黑体" w:hAnsi="黑体" w:eastAsia="黑体"/>
        </w:rPr>
      </w:pPr>
      <w:r>
        <w:rPr>
          <w:rFonts w:hint="eastAsia" w:ascii="黑体" w:hAnsi="黑体" w:eastAsia="黑体"/>
        </w:rPr>
        <w:t>3 判定规则</w:t>
      </w:r>
    </w:p>
    <w:p>
      <w:pPr>
        <w:snapToGrid w:val="0"/>
        <w:spacing w:line="440" w:lineRule="exact"/>
        <w:rPr>
          <w:rFonts w:ascii="宋体" w:hAnsi="宋体"/>
        </w:rPr>
      </w:pPr>
      <w:r>
        <w:rPr>
          <w:rFonts w:hint="eastAsia" w:ascii="宋体" w:hAnsi="宋体"/>
        </w:rPr>
        <w:t xml:space="preserve">3.1依据标准 </w:t>
      </w:r>
    </w:p>
    <w:p>
      <w:pPr>
        <w:spacing w:line="440" w:lineRule="exact"/>
        <w:ind w:firstLine="420" w:firstLineChars="200"/>
        <w:rPr>
          <w:rFonts w:ascii="宋体" w:hAnsi="宋体"/>
          <w:color w:val="000000"/>
        </w:rPr>
      </w:pPr>
      <w:r>
        <w:rPr>
          <w:rFonts w:ascii="宋体" w:hAnsi="宋体"/>
          <w:color w:val="000000"/>
        </w:rPr>
        <w:t>GB 4706.1-2005</w:t>
      </w:r>
      <w:r>
        <w:rPr>
          <w:rFonts w:hint="eastAsia" w:ascii="宋体" w:hAnsi="宋体"/>
          <w:color w:val="000000"/>
        </w:rPr>
        <w:t>家用和类似用途电器的安全 第1部分：通用要求</w:t>
      </w:r>
    </w:p>
    <w:p>
      <w:pPr>
        <w:spacing w:line="440" w:lineRule="exact"/>
        <w:ind w:firstLine="420" w:firstLineChars="200"/>
      </w:pPr>
      <w:r>
        <w:rPr>
          <w:rFonts w:ascii="宋体" w:hAnsi="宋体"/>
          <w:color w:val="000000"/>
        </w:rPr>
        <w:t>GB 4706.8-2008</w:t>
      </w:r>
      <w:r>
        <w:rPr>
          <w:rFonts w:hint="eastAsia" w:ascii="宋体" w:hAnsi="宋体"/>
          <w:color w:val="000000"/>
        </w:rPr>
        <w:t>家用和类似用途电器的安全 电热毯、电热垫及类似柔性发热器具的特殊要求</w:t>
      </w:r>
      <w:r>
        <w:rPr>
          <w:rFonts w:hint="eastAsia"/>
        </w:rPr>
        <w:t xml:space="preserve">  </w:t>
      </w:r>
    </w:p>
    <w:p>
      <w:pPr>
        <w:spacing w:line="440" w:lineRule="exact"/>
        <w:ind w:firstLine="420" w:firstLineChars="200"/>
        <w:rPr>
          <w:rFonts w:ascii="宋体" w:hAnsi="宋体"/>
          <w:strike/>
          <w:color w:val="000000"/>
        </w:rPr>
      </w:pPr>
      <w:r>
        <w:rPr>
          <w:rFonts w:hint="eastAsia" w:ascii="宋体" w:hAnsi="宋体"/>
          <w:color w:val="000000"/>
        </w:rPr>
        <w:t>现行有效的企业标准、团体标准、地方标准及产品明示质量要求</w:t>
      </w:r>
    </w:p>
    <w:p>
      <w:pPr>
        <w:snapToGrid w:val="0"/>
        <w:spacing w:line="440" w:lineRule="exact"/>
        <w:rPr>
          <w:rFonts w:ascii="宋体" w:hAnsi="宋体"/>
          <w:color w:val="000000"/>
        </w:rPr>
      </w:pPr>
      <w:r>
        <w:rPr>
          <w:rFonts w:hint="eastAsia" w:ascii="宋体" w:hAnsi="宋体"/>
          <w:color w:val="000000"/>
        </w:rPr>
        <w:t>3.2判定原则</w:t>
      </w:r>
    </w:p>
    <w:p>
      <w:pPr>
        <w:snapToGrid w:val="0"/>
        <w:spacing w:line="440" w:lineRule="exact"/>
        <w:ind w:firstLine="420" w:firstLineChars="200"/>
        <w:rPr>
          <w:rFonts w:ascii="宋体" w:hAnsi="宋体"/>
          <w:color w:val="000000"/>
        </w:rPr>
      </w:pPr>
      <w:r>
        <w:rPr>
          <w:rFonts w:hint="eastAsia" w:ascii="宋体" w:hAnsi="宋体"/>
          <w:color w:val="000000"/>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rPr>
      </w:pPr>
      <w:r>
        <w:rPr>
          <w:rFonts w:hint="eastAsia" w:ascii="宋体" w:hAnsi="宋体"/>
          <w:color w:val="000000"/>
        </w:rPr>
        <w:t>若被检产品明示的质量要求缺少本细则中检验项目依据的推荐性标准要求时，该项目不参与判定。</w:t>
      </w:r>
    </w:p>
    <w:p>
      <w:pPr>
        <w:spacing w:line="440" w:lineRule="exact"/>
        <w:rPr>
          <w:rFonts w:ascii="黑体" w:hAnsi="黑体" w:eastAsia="黑体"/>
        </w:rPr>
      </w:pPr>
      <w:r>
        <w:rPr>
          <w:rFonts w:hint="eastAsia" w:ascii="黑体" w:hAnsi="黑体" w:eastAsia="黑体"/>
        </w:rPr>
        <w:t>4 异议处理</w:t>
      </w:r>
    </w:p>
    <w:p>
      <w:pPr>
        <w:snapToGrid w:val="0"/>
        <w:spacing w:beforeLines="0" w:afterLines="0" w:line="440" w:lineRule="exact"/>
        <w:rPr>
          <w:rFonts w:hint="default" w:ascii="宋体" w:hAnsi="宋体" w:eastAsia="宋体" w:cs="Times New Roman"/>
          <w:sz w:val="21"/>
          <w:szCs w:val="24"/>
          <w:lang w:val="en-US" w:eastAsia="zh-CN"/>
        </w:rPr>
      </w:pPr>
      <w:r>
        <w:rPr>
          <w:rFonts w:hint="eastAsia" w:ascii="宋体" w:hAnsi="宋体" w:eastAsia="宋体" w:cs="Times New Roman"/>
          <w:sz w:val="21"/>
          <w:szCs w:val="24"/>
          <w:lang w:val="en-US" w:eastAsia="zh-CN"/>
        </w:rPr>
        <w:t>4.1 复查</w:t>
      </w:r>
    </w:p>
    <w:p>
      <w:pPr>
        <w:snapToGrid w:val="0"/>
        <w:spacing w:line="440" w:lineRule="exact"/>
        <w:ind w:firstLine="417" w:firstLineChars="199"/>
        <w:rPr>
          <w:rFonts w:ascii="宋体" w:hAnsi="宋体"/>
          <w:color w:val="000000"/>
        </w:rPr>
      </w:pPr>
      <w:r>
        <w:rPr>
          <w:rFonts w:hint="eastAsia" w:ascii="宋体" w:hAnsi="宋体"/>
          <w:color w:val="000000"/>
        </w:rPr>
        <w:t>被抽样生产者、销售者对抽样过程、样品真实性等有异议的，收到异议处理申请的赣州市市场监督管理局组织异议处理，并将处理结论书面告知申请人。</w:t>
      </w:r>
    </w:p>
    <w:p>
      <w:pPr>
        <w:snapToGrid w:val="0"/>
        <w:spacing w:beforeLines="0" w:afterLines="0" w:line="440" w:lineRule="exact"/>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4.2 复检</w:t>
      </w:r>
    </w:p>
    <w:p>
      <w:pPr>
        <w:snapToGrid w:val="0"/>
        <w:spacing w:line="440" w:lineRule="exact"/>
        <w:rPr>
          <w:rFonts w:ascii="宋体" w:hAnsi="宋体"/>
          <w:color w:val="000000"/>
        </w:rPr>
      </w:pPr>
      <w:r>
        <w:rPr>
          <w:rFonts w:hint="eastAsia" w:ascii="宋体" w:hAnsi="宋体"/>
          <w:color w:val="000000"/>
        </w:rPr>
        <w:t>4.2.1被抽样销售者对检验结论有异议的，应当自收到检验结论书面告知之日起十五日内向赣州市市场监督管理局提出书面异议处理申请，并提交相关材料。</w:t>
      </w:r>
    </w:p>
    <w:p>
      <w:pPr>
        <w:snapToGrid w:val="0"/>
        <w:spacing w:line="440" w:lineRule="exact"/>
        <w:rPr>
          <w:rFonts w:ascii="宋体" w:hAnsi="宋体"/>
          <w:color w:val="000000"/>
        </w:rPr>
      </w:pPr>
      <w:r>
        <w:rPr>
          <w:rFonts w:hint="eastAsia" w:ascii="宋体" w:hAnsi="宋体"/>
          <w:color w:val="000000"/>
        </w:rPr>
        <w:t>4.2.2 被抽样销售者对检验结论有异议，提出书面复检申请并阐明理由的，收到异议处理申请经赣州市市场监督管理局组织研究，对需要复检并具备检验条件的，组织复检。</w:t>
      </w:r>
    </w:p>
    <w:p>
      <w:pPr>
        <w:snapToGrid w:val="0"/>
        <w:spacing w:line="440" w:lineRule="exact"/>
        <w:rPr>
          <w:rFonts w:ascii="宋体" w:hAnsi="宋体"/>
          <w:color w:val="000000"/>
        </w:rPr>
      </w:pPr>
      <w:r>
        <w:rPr>
          <w:rFonts w:hint="eastAsia" w:ascii="宋体" w:hAnsi="宋体"/>
          <w:color w:val="000000"/>
        </w:rPr>
        <w:t>4.2.3 申请人应当自收到市场监督管理部门复检通知之日起七日内办理复检手续。逾期未办理的，视为放弃复检。</w:t>
      </w:r>
    </w:p>
    <w:p>
      <w:pPr>
        <w:snapToGrid w:val="0"/>
        <w:spacing w:line="440" w:lineRule="exact"/>
        <w:rPr>
          <w:rFonts w:ascii="宋体" w:hAnsi="宋体"/>
          <w:color w:val="000000"/>
        </w:rPr>
      </w:pPr>
      <w:r>
        <w:rPr>
          <w:rFonts w:hint="eastAsia" w:ascii="宋体" w:hAnsi="宋体"/>
          <w:color w:val="000000"/>
        </w:rPr>
        <w:t>4.2.4 赣州市市场监督管理局自申请人办理复检手续之日起十日内确定具备相应资质的检验机构进行复检。</w:t>
      </w:r>
    </w:p>
    <w:p>
      <w:pPr>
        <w:snapToGrid w:val="0"/>
        <w:spacing w:line="440" w:lineRule="exact"/>
        <w:rPr>
          <w:rFonts w:ascii="宋体" w:hAnsi="宋体"/>
          <w:color w:val="000000"/>
        </w:rPr>
      </w:pPr>
      <w:r>
        <w:rPr>
          <w:rFonts w:hint="eastAsia" w:ascii="宋体" w:hAnsi="宋体"/>
          <w:color w:val="000000"/>
        </w:rPr>
        <w:t>4.2.5 被抽样销售者隐匿、转移、变卖、损毁备用样品的，应当终止复检，并以初检结论为最终结论。</w:t>
      </w:r>
    </w:p>
    <w:p>
      <w:pPr>
        <w:snapToGrid w:val="0"/>
        <w:spacing w:line="440" w:lineRule="exact"/>
        <w:rPr>
          <w:rFonts w:ascii="宋体" w:hAnsi="宋体"/>
          <w:color w:val="000000"/>
        </w:rPr>
      </w:pPr>
      <w:r>
        <w:rPr>
          <w:rFonts w:hint="eastAsia" w:ascii="宋体" w:hAnsi="宋体"/>
          <w:color w:val="000000"/>
        </w:rPr>
        <w:t>4.2.6 复检机构应当在规定时间内按照监督抽查实施细则所规定的检验方法、判定规则等对与异议相关的检验项目进行复检，并将复检结论及时报送赣州市市场监督管理局，由赣州市市场监督管理局书面告知复检申请人。复检结论为最终结论。</w:t>
      </w:r>
    </w:p>
    <w:p>
      <w:pPr>
        <w:snapToGrid w:val="0"/>
        <w:spacing w:line="440" w:lineRule="exact"/>
        <w:rPr>
          <w:rFonts w:ascii="宋体" w:hAnsi="宋体"/>
          <w:color w:val="000000"/>
        </w:rPr>
      </w:pPr>
      <w:r>
        <w:rPr>
          <w:rFonts w:hint="eastAsia" w:ascii="宋体" w:hAnsi="宋体"/>
          <w:color w:val="000000"/>
        </w:rPr>
        <w:t>4.2.7 复检费用由申请人向复检机构先行支付。复检结论与初检结论一致的，复检费用由申请人承担；与初检结论不一致的，复检费用由承担本次抽样检验的单位承担。</w:t>
      </w:r>
    </w:p>
    <w:p>
      <w:pPr>
        <w:spacing w:line="440" w:lineRule="exact"/>
        <w:rPr>
          <w:rFonts w:ascii="黑体" w:hAnsi="黑体" w:eastAsia="黑体"/>
        </w:rPr>
      </w:pPr>
      <w:r>
        <w:rPr>
          <w:rFonts w:hint="eastAsia" w:ascii="黑体" w:hAnsi="黑体" w:eastAsia="黑体"/>
        </w:rPr>
        <w:t xml:space="preserve">5 其他 </w:t>
      </w:r>
    </w:p>
    <w:p>
      <w:pPr>
        <w:snapToGrid w:val="0"/>
        <w:spacing w:line="440" w:lineRule="exact"/>
        <w:rPr>
          <w:rFonts w:ascii="宋体" w:hAnsi="宋体"/>
          <w:color w:val="000000"/>
        </w:rPr>
      </w:pPr>
      <w:r>
        <w:rPr>
          <w:rFonts w:hint="eastAsia" w:ascii="宋体" w:hAnsi="宋体"/>
          <w:color w:val="000000"/>
        </w:rPr>
        <w:t>5.1 本细则由赣州市市场监督管理局制定并负责解释。</w:t>
      </w:r>
    </w:p>
    <w:p>
      <w:pPr>
        <w:snapToGrid w:val="0"/>
        <w:spacing w:line="440" w:lineRule="exact"/>
        <w:rPr>
          <w:rFonts w:ascii="宋体" w:hAnsi="宋体"/>
          <w:color w:val="000000"/>
        </w:rPr>
      </w:pPr>
      <w:r>
        <w:rPr>
          <w:rFonts w:hint="eastAsia" w:ascii="宋体" w:hAnsi="宋体"/>
          <w:color w:val="000000"/>
        </w:rPr>
        <w:t>5.2 本细则自2024年8月2</w:t>
      </w:r>
      <w:r>
        <w:rPr>
          <w:rFonts w:hint="eastAsia" w:ascii="宋体" w:hAnsi="宋体"/>
          <w:color w:val="000000"/>
          <w:lang w:val="en-US" w:eastAsia="zh-CN"/>
        </w:rPr>
        <w:t>8</w:t>
      </w:r>
      <w:bookmarkStart w:id="0" w:name="_GoBack"/>
      <w:bookmarkEnd w:id="0"/>
      <w:r>
        <w:rPr>
          <w:rFonts w:hint="eastAsia" w:ascii="宋体" w:hAnsi="宋体"/>
          <w:color w:val="000000"/>
        </w:rPr>
        <w:t>日起发布实施。</w:t>
      </w:r>
    </w:p>
    <w:p>
      <w:pPr>
        <w:adjustRightInd w:val="0"/>
        <w:snapToGrid w:val="0"/>
        <w:spacing w:line="360" w:lineRule="auto"/>
        <w:ind w:firstLine="420" w:firstLineChars="200"/>
        <w:jc w:val="left"/>
        <w:rPr>
          <w:rFonts w:ascii="宋体" w:hAnsi="宋体" w:cs="宋体"/>
          <w:szCs w:val="21"/>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幼圆">
    <w:panose1 w:val="02010509060101010101"/>
    <w:charset w:val="86"/>
    <w:family w:val="modern"/>
    <w:pitch w:val="default"/>
    <w:sig w:usb0="00000001" w:usb1="080E0000" w:usb2="00000000" w:usb3="00000000" w:csb0="00040000" w:csb1="00000000"/>
  </w:font>
  <w:font w:name="汉鼎简书宋二">
    <w:altName w:val="宋体"/>
    <w:panose1 w:val="00000000000000000000"/>
    <w:charset w:val="86"/>
    <w:family w:val="modern"/>
    <w:pitch w:val="default"/>
    <w:sig w:usb0="00000000" w:usb1="00000000" w:usb2="00000010" w:usb3="00000000" w:csb0="00040000" w:csb1="00000000"/>
  </w:font>
  <w:font w:name="方正小标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1M2FjNTVkNDViODkxZTJiZGQyODM1YTNmMjcwMDMifQ=="/>
  </w:docVars>
  <w:rsids>
    <w:rsidRoot w:val="00172A27"/>
    <w:rsid w:val="000062EA"/>
    <w:rsid w:val="00021543"/>
    <w:rsid w:val="00053572"/>
    <w:rsid w:val="00062E0B"/>
    <w:rsid w:val="000743E1"/>
    <w:rsid w:val="00083796"/>
    <w:rsid w:val="00083C81"/>
    <w:rsid w:val="000906AC"/>
    <w:rsid w:val="000A3CA4"/>
    <w:rsid w:val="000C7DEE"/>
    <w:rsid w:val="000E0052"/>
    <w:rsid w:val="00144E39"/>
    <w:rsid w:val="00154EB0"/>
    <w:rsid w:val="00172A27"/>
    <w:rsid w:val="00174FD5"/>
    <w:rsid w:val="00187CFC"/>
    <w:rsid w:val="00192763"/>
    <w:rsid w:val="00193985"/>
    <w:rsid w:val="001C1142"/>
    <w:rsid w:val="001C516A"/>
    <w:rsid w:val="001E2582"/>
    <w:rsid w:val="00245F7D"/>
    <w:rsid w:val="0028538E"/>
    <w:rsid w:val="0028646B"/>
    <w:rsid w:val="002968AA"/>
    <w:rsid w:val="002B1BE3"/>
    <w:rsid w:val="00312FC1"/>
    <w:rsid w:val="00330639"/>
    <w:rsid w:val="00375ED5"/>
    <w:rsid w:val="003957D3"/>
    <w:rsid w:val="00396FDD"/>
    <w:rsid w:val="003A170C"/>
    <w:rsid w:val="003B1343"/>
    <w:rsid w:val="003B6A67"/>
    <w:rsid w:val="003D1D78"/>
    <w:rsid w:val="003E3C15"/>
    <w:rsid w:val="003E6D26"/>
    <w:rsid w:val="003E6E59"/>
    <w:rsid w:val="003F554E"/>
    <w:rsid w:val="004034DC"/>
    <w:rsid w:val="00431A62"/>
    <w:rsid w:val="00484944"/>
    <w:rsid w:val="0049106A"/>
    <w:rsid w:val="004A32D7"/>
    <w:rsid w:val="004A6461"/>
    <w:rsid w:val="004A6DFE"/>
    <w:rsid w:val="004B772A"/>
    <w:rsid w:val="004C6FA9"/>
    <w:rsid w:val="004D3964"/>
    <w:rsid w:val="004F52A3"/>
    <w:rsid w:val="004F6F07"/>
    <w:rsid w:val="00534805"/>
    <w:rsid w:val="00540F6F"/>
    <w:rsid w:val="005520BC"/>
    <w:rsid w:val="00584DF5"/>
    <w:rsid w:val="005B2323"/>
    <w:rsid w:val="005E12F9"/>
    <w:rsid w:val="005E4EA7"/>
    <w:rsid w:val="006052B1"/>
    <w:rsid w:val="00605D6F"/>
    <w:rsid w:val="00607A4D"/>
    <w:rsid w:val="00607B11"/>
    <w:rsid w:val="0061090E"/>
    <w:rsid w:val="00612980"/>
    <w:rsid w:val="00623D69"/>
    <w:rsid w:val="00641C18"/>
    <w:rsid w:val="00650B24"/>
    <w:rsid w:val="00655CB7"/>
    <w:rsid w:val="00656311"/>
    <w:rsid w:val="0068142F"/>
    <w:rsid w:val="00682BF1"/>
    <w:rsid w:val="0068631C"/>
    <w:rsid w:val="006A7594"/>
    <w:rsid w:val="006B13A6"/>
    <w:rsid w:val="006B5503"/>
    <w:rsid w:val="006B6E74"/>
    <w:rsid w:val="006C2626"/>
    <w:rsid w:val="006D1664"/>
    <w:rsid w:val="006D1A52"/>
    <w:rsid w:val="006D2275"/>
    <w:rsid w:val="006F51D1"/>
    <w:rsid w:val="00744A8E"/>
    <w:rsid w:val="00746C43"/>
    <w:rsid w:val="00750994"/>
    <w:rsid w:val="007660A7"/>
    <w:rsid w:val="00771DAE"/>
    <w:rsid w:val="00785B48"/>
    <w:rsid w:val="007E0441"/>
    <w:rsid w:val="007E1AE0"/>
    <w:rsid w:val="007E2F2D"/>
    <w:rsid w:val="00802B25"/>
    <w:rsid w:val="00806C17"/>
    <w:rsid w:val="00850096"/>
    <w:rsid w:val="00850A0D"/>
    <w:rsid w:val="008715E3"/>
    <w:rsid w:val="0088484A"/>
    <w:rsid w:val="008A58EA"/>
    <w:rsid w:val="008B2190"/>
    <w:rsid w:val="008B4497"/>
    <w:rsid w:val="008B562B"/>
    <w:rsid w:val="008E7AD6"/>
    <w:rsid w:val="008F67F2"/>
    <w:rsid w:val="009055BF"/>
    <w:rsid w:val="00905752"/>
    <w:rsid w:val="009073DA"/>
    <w:rsid w:val="009137B8"/>
    <w:rsid w:val="00931036"/>
    <w:rsid w:val="00943B80"/>
    <w:rsid w:val="0094615D"/>
    <w:rsid w:val="009504A6"/>
    <w:rsid w:val="00972071"/>
    <w:rsid w:val="0097620C"/>
    <w:rsid w:val="009A14C8"/>
    <w:rsid w:val="009C563D"/>
    <w:rsid w:val="009D3E25"/>
    <w:rsid w:val="00A07EFD"/>
    <w:rsid w:val="00A41315"/>
    <w:rsid w:val="00A56B62"/>
    <w:rsid w:val="00A85176"/>
    <w:rsid w:val="00A92D15"/>
    <w:rsid w:val="00A953EB"/>
    <w:rsid w:val="00AA13DC"/>
    <w:rsid w:val="00AA5D56"/>
    <w:rsid w:val="00AC2DF6"/>
    <w:rsid w:val="00B15A72"/>
    <w:rsid w:val="00B233DA"/>
    <w:rsid w:val="00B2458C"/>
    <w:rsid w:val="00B24669"/>
    <w:rsid w:val="00B25B34"/>
    <w:rsid w:val="00B4442D"/>
    <w:rsid w:val="00B5333B"/>
    <w:rsid w:val="00BB5F2C"/>
    <w:rsid w:val="00BC59FD"/>
    <w:rsid w:val="00BD7F1B"/>
    <w:rsid w:val="00BF3EFC"/>
    <w:rsid w:val="00BF5A95"/>
    <w:rsid w:val="00C176C3"/>
    <w:rsid w:val="00C20350"/>
    <w:rsid w:val="00C3699E"/>
    <w:rsid w:val="00C50B8E"/>
    <w:rsid w:val="00C61ECE"/>
    <w:rsid w:val="00C65EE7"/>
    <w:rsid w:val="00C84B17"/>
    <w:rsid w:val="00C90478"/>
    <w:rsid w:val="00C97C56"/>
    <w:rsid w:val="00CB6511"/>
    <w:rsid w:val="00CC49A3"/>
    <w:rsid w:val="00CC70D7"/>
    <w:rsid w:val="00CD674A"/>
    <w:rsid w:val="00CE23D6"/>
    <w:rsid w:val="00D64436"/>
    <w:rsid w:val="00D70706"/>
    <w:rsid w:val="00D740C5"/>
    <w:rsid w:val="00D867DC"/>
    <w:rsid w:val="00D963F9"/>
    <w:rsid w:val="00DA3E17"/>
    <w:rsid w:val="00DB5CE9"/>
    <w:rsid w:val="00DB76A0"/>
    <w:rsid w:val="00DD19A6"/>
    <w:rsid w:val="00DD702C"/>
    <w:rsid w:val="00E12139"/>
    <w:rsid w:val="00E13E0D"/>
    <w:rsid w:val="00E53A35"/>
    <w:rsid w:val="00E67220"/>
    <w:rsid w:val="00E72BEF"/>
    <w:rsid w:val="00E810EA"/>
    <w:rsid w:val="00E82EF3"/>
    <w:rsid w:val="00EA4853"/>
    <w:rsid w:val="00EA7430"/>
    <w:rsid w:val="00EC7A22"/>
    <w:rsid w:val="00ED5811"/>
    <w:rsid w:val="00EE07E3"/>
    <w:rsid w:val="00EE399C"/>
    <w:rsid w:val="00EE46D1"/>
    <w:rsid w:val="00EF028A"/>
    <w:rsid w:val="00EF3FD4"/>
    <w:rsid w:val="00F04BDD"/>
    <w:rsid w:val="00F06369"/>
    <w:rsid w:val="00F21A50"/>
    <w:rsid w:val="00F31222"/>
    <w:rsid w:val="00F32073"/>
    <w:rsid w:val="00F35E7A"/>
    <w:rsid w:val="00F50ED5"/>
    <w:rsid w:val="00F5556E"/>
    <w:rsid w:val="00F865FF"/>
    <w:rsid w:val="00F9051D"/>
    <w:rsid w:val="00FF5BCB"/>
    <w:rsid w:val="01214BEB"/>
    <w:rsid w:val="0F2C08D3"/>
    <w:rsid w:val="175C49A5"/>
    <w:rsid w:val="18556426"/>
    <w:rsid w:val="185D049A"/>
    <w:rsid w:val="1BB43086"/>
    <w:rsid w:val="23840ECE"/>
    <w:rsid w:val="29407A68"/>
    <w:rsid w:val="31040918"/>
    <w:rsid w:val="33EC4DB1"/>
    <w:rsid w:val="3C9A770A"/>
    <w:rsid w:val="3F5E0F5E"/>
    <w:rsid w:val="47440F1A"/>
    <w:rsid w:val="51F24C5E"/>
    <w:rsid w:val="533C5297"/>
    <w:rsid w:val="579C1D99"/>
    <w:rsid w:val="6E1F3ADC"/>
    <w:rsid w:val="72192610"/>
    <w:rsid w:val="79BE50AB"/>
    <w:rsid w:val="7E5C334E"/>
    <w:rsid w:val="7F8C48B8"/>
    <w:rsid w:val="97ED620B"/>
    <w:rsid w:val="BF5FAF79"/>
    <w:rsid w:val="FFEDF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unhideWhenUsed/>
    <w:qFormat/>
    <w:uiPriority w:val="99"/>
    <w:rPr>
      <w:rFonts w:ascii="宋体" w:hAnsi="宋体" w:cs="宋体"/>
      <w:sz w:val="18"/>
      <w:szCs w:val="18"/>
    </w:rPr>
  </w:style>
  <w:style w:type="paragraph" w:styleId="3">
    <w:name w:val="annotation text"/>
    <w:basedOn w:val="1"/>
    <w:link w:val="12"/>
    <w:unhideWhenUsed/>
    <w:qFormat/>
    <w:uiPriority w:val="99"/>
    <w:pPr>
      <w:jc w:val="left"/>
    </w:pPr>
  </w:style>
  <w:style w:type="paragraph" w:styleId="4">
    <w:name w:val="Date"/>
    <w:basedOn w:val="1"/>
    <w:next w:val="1"/>
    <w:link w:val="20"/>
    <w:qFormat/>
    <w:uiPriority w:val="0"/>
    <w:rPr>
      <w:rFonts w:ascii="幼圆" w:eastAsia="幼圆"/>
      <w:sz w:val="24"/>
      <w:szCs w:val="20"/>
    </w:rPr>
  </w:style>
  <w:style w:type="paragraph" w:styleId="5">
    <w:name w:val="Balloon Text"/>
    <w:basedOn w:val="1"/>
    <w:link w:val="25"/>
    <w:unhideWhenUsed/>
    <w:qFormat/>
    <w:uiPriority w:val="99"/>
    <w:rPr>
      <w:sz w:val="18"/>
      <w:szCs w:val="18"/>
    </w:rPr>
  </w:style>
  <w:style w:type="paragraph" w:styleId="6">
    <w:name w:val="footer"/>
    <w:basedOn w:val="1"/>
    <w:link w:val="14"/>
    <w:unhideWhenUsed/>
    <w:qFormat/>
    <w:uiPriority w:val="0"/>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批注文字 字符"/>
    <w:basedOn w:val="10"/>
    <w:link w:val="3"/>
    <w:qFormat/>
    <w:uiPriority w:val="99"/>
    <w:rPr>
      <w:kern w:val="2"/>
      <w:sz w:val="21"/>
      <w:szCs w:val="22"/>
    </w:rPr>
  </w:style>
  <w:style w:type="character" w:customStyle="1" w:styleId="13">
    <w:name w:val="页眉 字符1"/>
    <w:link w:val="7"/>
    <w:qFormat/>
    <w:uiPriority w:val="99"/>
    <w:rPr>
      <w:kern w:val="2"/>
      <w:sz w:val="18"/>
      <w:szCs w:val="18"/>
    </w:rPr>
  </w:style>
  <w:style w:type="character" w:customStyle="1" w:styleId="14">
    <w:name w:val="页脚 字符1"/>
    <w:link w:val="6"/>
    <w:qFormat/>
    <w:uiPriority w:val="99"/>
    <w:rPr>
      <w:kern w:val="2"/>
      <w:sz w:val="18"/>
      <w:szCs w:val="18"/>
    </w:rPr>
  </w:style>
  <w:style w:type="paragraph" w:customStyle="1" w:styleId="15">
    <w:name w:val="列出段落1"/>
    <w:basedOn w:val="1"/>
    <w:qFormat/>
    <w:uiPriority w:val="34"/>
    <w:pPr>
      <w:ind w:firstLine="420" w:firstLineChars="200"/>
    </w:pPr>
  </w:style>
  <w:style w:type="character" w:customStyle="1" w:styleId="16">
    <w:name w:val="页眉 字符"/>
    <w:qFormat/>
    <w:uiPriority w:val="99"/>
    <w:rPr>
      <w:sz w:val="18"/>
      <w:szCs w:val="18"/>
    </w:rPr>
  </w:style>
  <w:style w:type="character" w:customStyle="1" w:styleId="17">
    <w:name w:val="页脚 字符"/>
    <w:qFormat/>
    <w:uiPriority w:val="99"/>
    <w:rPr>
      <w:sz w:val="18"/>
      <w:szCs w:val="18"/>
    </w:rPr>
  </w:style>
  <w:style w:type="paragraph" w:customStyle="1" w:styleId="18">
    <w:name w:val="列出段落2"/>
    <w:basedOn w:val="1"/>
    <w:qFormat/>
    <w:uiPriority w:val="34"/>
    <w:pPr>
      <w:ind w:firstLine="420" w:firstLineChars="200"/>
    </w:pPr>
  </w:style>
  <w:style w:type="character" w:customStyle="1" w:styleId="19">
    <w:name w:val="apple-converted-space"/>
    <w:basedOn w:val="10"/>
    <w:qFormat/>
    <w:uiPriority w:val="0"/>
  </w:style>
  <w:style w:type="character" w:customStyle="1" w:styleId="20">
    <w:name w:val="日期 字符"/>
    <w:basedOn w:val="10"/>
    <w:link w:val="4"/>
    <w:qFormat/>
    <w:uiPriority w:val="0"/>
    <w:rPr>
      <w:rFonts w:ascii="幼圆" w:hAnsi="Times New Roman" w:eastAsia="幼圆"/>
      <w:kern w:val="2"/>
      <w:sz w:val="24"/>
    </w:rPr>
  </w:style>
  <w:style w:type="paragraph" w:customStyle="1" w:styleId="21">
    <w:name w:val="style2"/>
    <w:basedOn w:val="1"/>
    <w:qFormat/>
    <w:uiPriority w:val="0"/>
    <w:pPr>
      <w:widowControl/>
      <w:spacing w:before="100" w:beforeAutospacing="1" w:after="100" w:afterAutospacing="1"/>
      <w:jc w:val="left"/>
    </w:pPr>
    <w:rPr>
      <w:rFonts w:ascii="宋体" w:hAnsi="宋体" w:cs="宋体"/>
      <w:kern w:val="0"/>
      <w:sz w:val="24"/>
    </w:rPr>
  </w:style>
  <w:style w:type="character" w:customStyle="1" w:styleId="22">
    <w:name w:val="肥料正文 Char Char"/>
    <w:basedOn w:val="10"/>
    <w:link w:val="23"/>
    <w:qFormat/>
    <w:uiPriority w:val="0"/>
    <w:rPr>
      <w:rFonts w:eastAsia="汉鼎简书宋二"/>
      <w:snapToGrid w:val="0"/>
      <w:spacing w:val="2"/>
      <w:sz w:val="22"/>
      <w:szCs w:val="24"/>
    </w:rPr>
  </w:style>
  <w:style w:type="paragraph" w:customStyle="1" w:styleId="23">
    <w:name w:val="肥料正文"/>
    <w:basedOn w:val="1"/>
    <w:link w:val="22"/>
    <w:qFormat/>
    <w:uiPriority w:val="0"/>
    <w:pPr>
      <w:adjustRightInd w:val="0"/>
      <w:snapToGrid w:val="0"/>
      <w:spacing w:line="317" w:lineRule="auto"/>
      <w:ind w:firstLine="200" w:firstLineChars="200"/>
    </w:pPr>
    <w:rPr>
      <w:rFonts w:ascii="Calibri" w:hAnsi="Calibri" w:eastAsia="汉鼎简书宋二"/>
      <w:snapToGrid w:val="0"/>
      <w:spacing w:val="2"/>
      <w:kern w:val="0"/>
      <w:sz w:val="22"/>
    </w:rPr>
  </w:style>
  <w:style w:type="paragraph" w:customStyle="1" w:styleId="24">
    <w:name w:val="列表段落1"/>
    <w:basedOn w:val="1"/>
    <w:qFormat/>
    <w:uiPriority w:val="99"/>
    <w:pPr>
      <w:ind w:firstLine="420" w:firstLineChars="200"/>
    </w:pPr>
  </w:style>
  <w:style w:type="character" w:customStyle="1" w:styleId="25">
    <w:name w:val="批注框文本 字符"/>
    <w:basedOn w:val="10"/>
    <w:link w:val="5"/>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343</Words>
  <Characters>1961</Characters>
  <Lines>16</Lines>
  <Paragraphs>4</Paragraphs>
  <TotalTime>1</TotalTime>
  <ScaleCrop>false</ScaleCrop>
  <LinksUpToDate>false</LinksUpToDate>
  <CharactersWithSpaces>2300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2023-08-17T00:47:00Z</dcterms:created>
  <dc:creator>微软用户</dc:creator>
  <cp:lastModifiedBy>user</cp:lastModifiedBy>
  <cp:lastPrinted>2020-12-11T00:46:00Z</cp:lastPrinted>
  <dcterms:modified xsi:type="dcterms:W3CDTF">2024-08-30T17:10:19Z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AFE5636C9FB741C6821755F60A44526D_12</vt:lpwstr>
  </property>
</Properties>
</file>