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宋体" w:eastAsia="黑体"/>
          <w:color w:val="000000"/>
          <w:spacing w:val="0"/>
          <w:w w:val="100"/>
          <w:sz w:val="44"/>
          <w:szCs w:val="44"/>
        </w:rPr>
      </w:pPr>
      <w:r>
        <w:rPr>
          <w:rFonts w:hint="eastAsia" w:ascii="黑体" w:hAnsi="宋体" w:eastAsia="黑体"/>
          <w:color w:val="000000"/>
          <w:spacing w:val="0"/>
          <w:w w:val="100"/>
          <w:sz w:val="52"/>
          <w:szCs w:val="52"/>
          <w:lang w:eastAsia="zh-CN"/>
        </w:rPr>
        <w:t>赣州</w:t>
      </w:r>
      <w:r>
        <w:rPr>
          <w:rFonts w:hint="eastAsia" w:ascii="黑体" w:hAnsi="宋体" w:eastAsia="黑体"/>
          <w:color w:val="000000"/>
          <w:spacing w:val="0"/>
          <w:w w:val="100"/>
          <w:sz w:val="52"/>
          <w:szCs w:val="52"/>
        </w:rPr>
        <w:t>市产品质量监督抽查实施细则</w:t>
      </w:r>
    </w:p>
    <w:p>
      <w:pPr>
        <w:wordWrap w:val="0"/>
        <w:spacing w:before="240"/>
        <w:ind w:right="420"/>
        <w:jc w:val="right"/>
        <w:rPr>
          <w:rFonts w:hint="eastAsia" w:ascii="黑体" w:hAnsi="宋体" w:eastAsia="黑体"/>
          <w:color w:val="000000"/>
          <w:spacing w:val="0"/>
          <w:w w:val="100"/>
          <w:sz w:val="28"/>
          <w:szCs w:val="28"/>
          <w:lang w:val="en-US" w:eastAsia="zh-CN"/>
        </w:rPr>
      </w:pPr>
      <w:r>
        <w:rPr>
          <w:rFonts w:hint="eastAsia" w:ascii="黑体" w:hAnsi="宋体" w:eastAsia="黑体"/>
          <w:color w:val="000000"/>
          <w:sz w:val="28"/>
          <w:szCs w:val="28"/>
        </w:rPr>
        <w:t xml:space="preserve">GZCCXZ </w:t>
      </w:r>
      <w:r>
        <w:rPr>
          <w:rFonts w:hint="eastAsia" w:ascii="黑体" w:hAnsi="宋体" w:eastAsia="黑体"/>
          <w:color w:val="000000"/>
          <w:sz w:val="28"/>
          <w:szCs w:val="28"/>
          <w:lang w:val="en-US" w:eastAsia="zh-CN"/>
        </w:rPr>
        <w:t>26</w:t>
      </w:r>
      <w:r>
        <w:rPr>
          <w:rFonts w:hint="eastAsia" w:ascii="黑体" w:hAnsi="宋体" w:eastAsia="黑体"/>
          <w:color w:val="000000"/>
          <w:sz w:val="28"/>
          <w:szCs w:val="28"/>
        </w:rPr>
        <w:t>-2024</w:t>
      </w:r>
      <w:r>
        <w:rPr>
          <w:rFonts w:ascii="宋体" w:hAnsi="宋体"/>
          <w:color w:val="000000"/>
          <w:spacing w:val="0"/>
          <w:w w:val="100"/>
          <w:szCs w:val="21"/>
        </w:rPr>
        <mc:AlternateContent>
          <mc:Choice Requires="wps">
            <w:drawing>
              <wp:anchor distT="0" distB="0" distL="114300" distR="114300" simplePos="0" relativeHeight="251660288" behindDoc="0" locked="0" layoutInCell="1" allowOverlap="1">
                <wp:simplePos x="0" y="0"/>
                <wp:positionH relativeFrom="column">
                  <wp:posOffset>-123190</wp:posOffset>
                </wp:positionH>
                <wp:positionV relativeFrom="paragraph">
                  <wp:posOffset>501650</wp:posOffset>
                </wp:positionV>
                <wp:extent cx="5257800" cy="635"/>
                <wp:effectExtent l="0" t="0" r="0" b="0"/>
                <wp:wrapNone/>
                <wp:docPr id="3" name="直接连接符 3"/>
                <wp:cNvGraphicFramePr/>
                <a:graphic xmlns:a="http://schemas.openxmlformats.org/drawingml/2006/main">
                  <a:graphicData uri="http://schemas.microsoft.com/office/word/2010/wordprocessingShape">
                    <wps:wsp>
                      <wps:cNvCnPr/>
                      <wps:spPr>
                        <a:xfrm>
                          <a:off x="0" y="0"/>
                          <a:ext cx="5257800" cy="635"/>
                        </a:xfrm>
                        <a:prstGeom prst="line">
                          <a:avLst/>
                        </a:prstGeom>
                        <a:ln w="9525" cap="flat" cmpd="sng">
                          <a:solidFill>
                            <a:srgbClr val="000000"/>
                          </a:solidFill>
                          <a:prstDash val="solid"/>
                          <a:headEnd type="none" w="med" len="med"/>
                          <a:tailEnd type="none" w="med" len="med"/>
                        </a:ln>
                        <a:effectLst/>
                      </wps:spPr>
                      <wps:bodyPr upright="true"/>
                    </wps:wsp>
                  </a:graphicData>
                </a:graphic>
              </wp:anchor>
            </w:drawing>
          </mc:Choice>
          <mc:Fallback>
            <w:pict>
              <v:line id="_x0000_s1026" o:spid="_x0000_s1026" o:spt="20" style="position:absolute;left:0pt;margin-left:-9.7pt;margin-top:39.5pt;height:0.05pt;width:414pt;z-index:251660288;mso-width-relative:page;mso-height-relative:page;" filled="f" stroked="t" coordsize="21600,21600" o:gfxdata="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FgAAAGRycy9QSwECFAAU&#10;AAAACACHTuJAG0zibNcAAAAJAQAADwAAAAAAAAABACAAAAA4AAAAZHJzL2Rvd25yZXYueG1sUEsB&#10;AhQAFAAAAAgAh07iQGj+QfTgAQAAqQMAAA4AAAAAAAAAAQAgAAAAPAEAAGRycy9lMm9Eb2MueG1s&#10;UEsFBgAAAAAGAAYAWQEAAI4FAAAAAA==&#10;">
                <v:fill on="f" focussize="0,0"/>
                <v:stroke color="#000000" joinstyle="round"/>
                <v:imagedata o:title=""/>
                <o:lock v:ext="edit" aspectratio="f"/>
              </v:line>
            </w:pict>
          </mc:Fallback>
        </mc:AlternateContent>
      </w:r>
    </w:p>
    <w:p>
      <w:pPr>
        <w:jc w:val="center"/>
        <w:rPr>
          <w:rFonts w:ascii="宋体" w:hAnsi="宋体"/>
          <w:color w:val="000000"/>
          <w:spacing w:val="0"/>
          <w:w w:val="100"/>
          <w:sz w:val="44"/>
          <w:szCs w:val="44"/>
          <w:highlight w:val="yellow"/>
        </w:rPr>
      </w:pPr>
    </w:p>
    <w:p>
      <w:pPr>
        <w:jc w:val="center"/>
        <w:rPr>
          <w:rFonts w:hint="eastAsia"/>
          <w:color w:val="000000"/>
          <w:spacing w:val="0"/>
          <w:w w:val="100"/>
          <w:sz w:val="44"/>
          <w:szCs w:val="44"/>
        </w:rPr>
      </w:pPr>
    </w:p>
    <w:p>
      <w:pPr>
        <w:jc w:val="center"/>
        <w:rPr>
          <w:rFonts w:hint="eastAsia"/>
          <w:color w:val="000000"/>
          <w:spacing w:val="0"/>
          <w:w w:val="100"/>
          <w:sz w:val="44"/>
          <w:szCs w:val="44"/>
        </w:rPr>
      </w:pPr>
    </w:p>
    <w:p>
      <w:pPr>
        <w:pStyle w:val="2"/>
        <w:rPr>
          <w:rFonts w:hint="eastAsia"/>
          <w:spacing w:val="0"/>
          <w:w w:val="100"/>
        </w:rPr>
      </w:pPr>
    </w:p>
    <w:p>
      <w:pPr>
        <w:jc w:val="center"/>
        <w:rPr>
          <w:rFonts w:hint="eastAsia"/>
          <w:color w:val="000000"/>
          <w:spacing w:val="0"/>
          <w:w w:val="100"/>
          <w:sz w:val="44"/>
          <w:szCs w:val="44"/>
        </w:rPr>
      </w:pPr>
    </w:p>
    <w:p>
      <w:pPr>
        <w:jc w:val="center"/>
        <w:rPr>
          <w:rFonts w:hint="eastAsia"/>
          <w:color w:val="000000"/>
          <w:spacing w:val="0"/>
          <w:w w:val="100"/>
          <w:sz w:val="44"/>
          <w:szCs w:val="44"/>
        </w:rPr>
      </w:pPr>
    </w:p>
    <w:p>
      <w:pPr>
        <w:jc w:val="center"/>
        <w:rPr>
          <w:rFonts w:hint="eastAsia" w:ascii="黑体" w:hAnsi="宋体" w:eastAsia="黑体"/>
          <w:color w:val="000000"/>
          <w:spacing w:val="0"/>
          <w:w w:val="100"/>
          <w:sz w:val="52"/>
          <w:szCs w:val="52"/>
          <w:lang w:eastAsia="zh-CN"/>
        </w:rPr>
      </w:pPr>
    </w:p>
    <w:p>
      <w:pPr>
        <w:jc w:val="center"/>
        <w:rPr>
          <w:rFonts w:hint="eastAsia" w:eastAsia="宋体"/>
          <w:color w:val="000000"/>
          <w:spacing w:val="0"/>
          <w:w w:val="100"/>
          <w:sz w:val="44"/>
          <w:szCs w:val="44"/>
          <w:lang w:val="en-US" w:eastAsia="zh-CN"/>
        </w:rPr>
      </w:pPr>
      <w:r>
        <w:rPr>
          <w:rFonts w:hint="eastAsia" w:ascii="黑体" w:hAnsi="黑体" w:eastAsia="黑体" w:cs="黑体"/>
          <w:color w:val="000000"/>
          <w:spacing w:val="0"/>
          <w:w w:val="100"/>
          <w:sz w:val="52"/>
          <w:szCs w:val="52"/>
          <w:lang w:val="en-US" w:eastAsia="zh-CN"/>
        </w:rPr>
        <w:t>陶瓷砖</w:t>
      </w:r>
    </w:p>
    <w:p>
      <w:pPr>
        <w:pStyle w:val="2"/>
        <w:rPr>
          <w:color w:val="000000"/>
          <w:spacing w:val="0"/>
          <w:w w:val="100"/>
          <w:sz w:val="44"/>
          <w:szCs w:val="44"/>
        </w:rPr>
      </w:pPr>
    </w:p>
    <w:p>
      <w:pPr>
        <w:pStyle w:val="2"/>
        <w:rPr>
          <w:color w:val="000000"/>
          <w:spacing w:val="0"/>
          <w:w w:val="100"/>
          <w:sz w:val="44"/>
          <w:szCs w:val="44"/>
        </w:rPr>
      </w:pPr>
    </w:p>
    <w:p>
      <w:pPr>
        <w:pStyle w:val="2"/>
        <w:rPr>
          <w:color w:val="000000"/>
          <w:spacing w:val="0"/>
          <w:w w:val="100"/>
          <w:sz w:val="44"/>
          <w:szCs w:val="44"/>
        </w:rPr>
      </w:pPr>
    </w:p>
    <w:p>
      <w:pPr>
        <w:jc w:val="center"/>
        <w:rPr>
          <w:color w:val="000000"/>
          <w:spacing w:val="0"/>
          <w:w w:val="100"/>
          <w:sz w:val="44"/>
          <w:szCs w:val="44"/>
        </w:rPr>
      </w:pPr>
    </w:p>
    <w:p>
      <w:pPr>
        <w:pStyle w:val="2"/>
      </w:pPr>
    </w:p>
    <w:p>
      <w:pPr>
        <w:pStyle w:val="2"/>
      </w:pPr>
    </w:p>
    <w:p>
      <w:pPr>
        <w:jc w:val="both"/>
        <w:rPr>
          <w:rFonts w:hint="eastAsia"/>
          <w:color w:val="000000"/>
          <w:spacing w:val="0"/>
          <w:w w:val="100"/>
          <w:sz w:val="44"/>
          <w:szCs w:val="44"/>
        </w:rPr>
      </w:pPr>
    </w:p>
    <w:p>
      <w:pPr>
        <w:jc w:val="both"/>
        <w:rPr>
          <w:rFonts w:hint="eastAsia"/>
          <w:color w:val="000000"/>
          <w:spacing w:val="0"/>
          <w:w w:val="100"/>
          <w:sz w:val="44"/>
          <w:szCs w:val="44"/>
        </w:rPr>
      </w:pPr>
    </w:p>
    <w:p>
      <w:pPr>
        <w:pStyle w:val="2"/>
        <w:rPr>
          <w:rFonts w:hint="eastAsia"/>
          <w:spacing w:val="0"/>
          <w:w w:val="100"/>
        </w:rPr>
      </w:pPr>
    </w:p>
    <w:p>
      <w:pPr>
        <w:ind w:firstLine="140" w:firstLineChars="50"/>
        <w:rPr>
          <w:rFonts w:hint="eastAsia" w:ascii="黑体" w:hAnsi="宋体" w:eastAsia="黑体"/>
          <w:color w:val="000000"/>
          <w:spacing w:val="0"/>
          <w:w w:val="100"/>
          <w:sz w:val="28"/>
          <w:szCs w:val="28"/>
          <w:highlight w:val="yellow"/>
        </w:rPr>
      </w:pPr>
      <w:r>
        <w:rPr>
          <w:rFonts w:hint="eastAsia" w:ascii="黑体" w:hAnsi="宋体" w:eastAsia="黑体"/>
          <w:spacing w:val="0"/>
          <w:w w:val="100"/>
          <w:sz w:val="28"/>
          <w:szCs w:val="28"/>
        </w:rPr>
        <w:t xml:space="preserve"> </w:t>
      </w:r>
      <w:r>
        <w:rPr>
          <w:rFonts w:hint="eastAsia" w:ascii="黑体" w:hAnsi="宋体" w:eastAsia="黑体"/>
          <w:color w:val="000000"/>
          <w:spacing w:val="0"/>
          <w:w w:val="100"/>
          <w:sz w:val="28"/>
          <w:szCs w:val="28"/>
        </w:rPr>
        <w:t>202</w:t>
      </w:r>
      <w:r>
        <w:rPr>
          <w:rFonts w:hint="eastAsia" w:ascii="黑体" w:hAnsi="宋体" w:eastAsia="黑体"/>
          <w:color w:val="000000"/>
          <w:spacing w:val="0"/>
          <w:w w:val="100"/>
          <w:sz w:val="28"/>
          <w:szCs w:val="28"/>
          <w:lang w:val="en-US" w:eastAsia="zh-CN"/>
        </w:rPr>
        <w:t>4</w:t>
      </w:r>
      <w:r>
        <w:rPr>
          <w:rFonts w:hint="eastAsia" w:ascii="黑体" w:hAnsi="宋体" w:eastAsia="黑体"/>
          <w:color w:val="000000"/>
          <w:spacing w:val="0"/>
          <w:w w:val="100"/>
          <w:sz w:val="28"/>
          <w:szCs w:val="28"/>
        </w:rPr>
        <w:t>—</w:t>
      </w:r>
      <w:r>
        <w:rPr>
          <w:rFonts w:hint="eastAsia" w:ascii="黑体" w:hAnsi="宋体" w:eastAsia="黑体"/>
          <w:color w:val="000000"/>
          <w:spacing w:val="0"/>
          <w:w w:val="100"/>
          <w:sz w:val="28"/>
          <w:szCs w:val="28"/>
          <w:lang w:val="en-US" w:eastAsia="zh-CN"/>
        </w:rPr>
        <w:t>0</w:t>
      </w:r>
      <w:r>
        <w:rPr>
          <w:rFonts w:hint="default" w:ascii="黑体" w:hAnsi="宋体" w:eastAsia="黑体"/>
          <w:color w:val="000000"/>
          <w:spacing w:val="0"/>
          <w:w w:val="100"/>
          <w:sz w:val="28"/>
          <w:szCs w:val="28"/>
          <w:lang w:val="en" w:eastAsia="zh-CN"/>
        </w:rPr>
        <w:t>8</w:t>
      </w:r>
      <w:r>
        <w:rPr>
          <w:rFonts w:hint="eastAsia" w:ascii="黑体" w:hAnsi="宋体" w:eastAsia="黑体"/>
          <w:color w:val="000000"/>
          <w:spacing w:val="0"/>
          <w:w w:val="100"/>
          <w:sz w:val="28"/>
          <w:szCs w:val="28"/>
        </w:rPr>
        <w:t>—</w:t>
      </w:r>
      <w:r>
        <w:rPr>
          <w:rFonts w:hint="default" w:ascii="黑体" w:hAnsi="宋体" w:eastAsia="黑体"/>
          <w:color w:val="000000"/>
          <w:spacing w:val="0"/>
          <w:w w:val="100"/>
          <w:sz w:val="28"/>
          <w:szCs w:val="28"/>
          <w:lang w:val="en" w:eastAsia="zh-CN"/>
        </w:rPr>
        <w:t>28</w:t>
      </w:r>
      <w:r>
        <w:rPr>
          <w:rFonts w:hint="eastAsia" w:ascii="黑体" w:hAnsi="宋体" w:eastAsia="黑体"/>
          <w:color w:val="000000"/>
          <w:spacing w:val="0"/>
          <w:w w:val="100"/>
          <w:sz w:val="28"/>
          <w:szCs w:val="28"/>
        </w:rPr>
        <w:t xml:space="preserve">发布                  </w:t>
      </w:r>
      <w:r>
        <w:rPr>
          <w:rFonts w:hint="eastAsia" w:ascii="黑体" w:hAnsi="宋体" w:eastAsia="黑体"/>
          <w:color w:val="000000"/>
          <w:spacing w:val="0"/>
          <w:w w:val="100"/>
          <w:sz w:val="28"/>
          <w:szCs w:val="28"/>
          <w:lang w:val="en-US" w:eastAsia="zh-CN"/>
        </w:rPr>
        <w:t xml:space="preserve">    </w:t>
      </w:r>
      <w:r>
        <w:rPr>
          <w:rFonts w:hint="eastAsia" w:ascii="黑体" w:hAnsi="宋体" w:eastAsia="黑体"/>
          <w:color w:val="000000"/>
          <w:spacing w:val="0"/>
          <w:w w:val="100"/>
          <w:sz w:val="28"/>
          <w:szCs w:val="28"/>
        </w:rPr>
        <w:t xml:space="preserve">  202</w:t>
      </w:r>
      <w:r>
        <w:rPr>
          <w:rFonts w:hint="eastAsia" w:ascii="黑体" w:hAnsi="宋体" w:eastAsia="黑体"/>
          <w:color w:val="000000"/>
          <w:spacing w:val="0"/>
          <w:w w:val="100"/>
          <w:sz w:val="28"/>
          <w:szCs w:val="28"/>
          <w:lang w:val="en-US" w:eastAsia="zh-CN"/>
        </w:rPr>
        <w:t>4</w:t>
      </w:r>
      <w:r>
        <w:rPr>
          <w:rFonts w:hint="eastAsia" w:ascii="黑体" w:hAnsi="宋体" w:eastAsia="黑体"/>
          <w:color w:val="000000"/>
          <w:spacing w:val="0"/>
          <w:w w:val="100"/>
          <w:sz w:val="28"/>
          <w:szCs w:val="28"/>
        </w:rPr>
        <w:t>—</w:t>
      </w:r>
      <w:r>
        <w:rPr>
          <w:rFonts w:hint="eastAsia" w:ascii="黑体" w:hAnsi="宋体" w:eastAsia="黑体"/>
          <w:color w:val="000000"/>
          <w:spacing w:val="0"/>
          <w:w w:val="100"/>
          <w:sz w:val="28"/>
          <w:szCs w:val="28"/>
          <w:lang w:val="en-US" w:eastAsia="zh-CN"/>
        </w:rPr>
        <w:t>0</w:t>
      </w:r>
      <w:r>
        <w:rPr>
          <w:rFonts w:hint="default" w:ascii="黑体" w:hAnsi="宋体" w:eastAsia="黑体"/>
          <w:color w:val="000000"/>
          <w:spacing w:val="0"/>
          <w:w w:val="100"/>
          <w:sz w:val="28"/>
          <w:szCs w:val="28"/>
          <w:lang w:val="en" w:eastAsia="zh-CN"/>
        </w:rPr>
        <w:t>8</w:t>
      </w:r>
      <w:r>
        <w:rPr>
          <w:rFonts w:hint="eastAsia" w:ascii="黑体" w:hAnsi="宋体" w:eastAsia="黑体"/>
          <w:color w:val="000000"/>
          <w:spacing w:val="0"/>
          <w:w w:val="100"/>
          <w:sz w:val="28"/>
          <w:szCs w:val="28"/>
        </w:rPr>
        <w:t>—</w:t>
      </w:r>
      <w:r>
        <w:rPr>
          <w:rFonts w:hint="default" w:ascii="黑体" w:hAnsi="宋体" w:eastAsia="黑体"/>
          <w:color w:val="000000"/>
          <w:spacing w:val="0"/>
          <w:w w:val="100"/>
          <w:sz w:val="28"/>
          <w:szCs w:val="28"/>
          <w:lang w:val="en" w:eastAsia="zh-CN"/>
        </w:rPr>
        <w:t>28</w:t>
      </w:r>
      <w:r>
        <w:rPr>
          <w:rFonts w:hint="eastAsia" w:ascii="黑体" w:hAnsi="宋体" w:eastAsia="黑体"/>
          <w:color w:val="000000"/>
          <w:spacing w:val="0"/>
          <w:w w:val="100"/>
          <w:sz w:val="28"/>
          <w:szCs w:val="28"/>
        </w:rPr>
        <w:t>实施</w:t>
      </w:r>
      <w:r>
        <w:rPr>
          <w:spacing w:val="0"/>
          <w:w w:val="100"/>
          <w:sz w:val="28"/>
        </w:rPr>
        <mc:AlternateContent>
          <mc:Choice Requires="wps">
            <w:drawing>
              <wp:anchor distT="0" distB="0" distL="114300" distR="114300" simplePos="0" relativeHeight="251661312" behindDoc="0" locked="0" layoutInCell="1" allowOverlap="1">
                <wp:simplePos x="0" y="0"/>
                <wp:positionH relativeFrom="column">
                  <wp:posOffset>132080</wp:posOffset>
                </wp:positionH>
                <wp:positionV relativeFrom="paragraph">
                  <wp:posOffset>368935</wp:posOffset>
                </wp:positionV>
                <wp:extent cx="5259705" cy="9525"/>
                <wp:effectExtent l="0" t="0" r="0" b="0"/>
                <wp:wrapNone/>
                <wp:docPr id="1" name="直接连接符 1"/>
                <wp:cNvGraphicFramePr/>
                <a:graphic xmlns:a="http://schemas.openxmlformats.org/drawingml/2006/main">
                  <a:graphicData uri="http://schemas.microsoft.com/office/word/2010/wordprocessingShape">
                    <wps:wsp>
                      <wps:cNvCnPr/>
                      <wps:spPr>
                        <a:xfrm flipV="true">
                          <a:off x="0" y="0"/>
                          <a:ext cx="5259705" cy="9525"/>
                        </a:xfrm>
                        <a:prstGeom prst="line">
                          <a:avLst/>
                        </a:prstGeom>
                        <a:ln w="9525" cap="flat" cmpd="sng">
                          <a:solidFill>
                            <a:srgbClr val="000000"/>
                          </a:solidFill>
                          <a:prstDash val="solid"/>
                          <a:headEnd type="none" w="med" len="med"/>
                          <a:tailEnd type="none" w="med" len="med"/>
                        </a:ln>
                        <a:effectLst/>
                      </wps:spPr>
                      <wps:bodyPr upright="true"/>
                    </wps:wsp>
                  </a:graphicData>
                </a:graphic>
              </wp:anchor>
            </w:drawing>
          </mc:Choice>
          <mc:Fallback>
            <w:pict>
              <v:line id="_x0000_s1026" o:spid="_x0000_s1026" o:spt="20" style="position:absolute;left:0pt;flip:y;margin-left:10.4pt;margin-top:29.05pt;height:0.75pt;width:414.15pt;z-index:251661312;mso-width-relative:page;mso-height-relative:page;" filled="f" stroked="t" coordsize="21600,21600" o:gfxdata="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WAAAAZHJzL1BL&#10;AQIUABQAAAAIAIdO4kBhLENT1gAAAAgBAAAPAAAAAAAAAAEAIAAAADgAAABkcnMvZG93bnJldi54&#10;bWxQSwECFAAUAAAACACHTuJAxt9K9OYBAAC3AwAADgAAAAAAAAABACAAAAA7AQAAZHJzL2Uyb0Rv&#10;Yy54bWxQSwUGAAAAAAYABgBZAQAAkwUAAAAA&#10;">
                <v:fill on="f" focussize="0,0"/>
                <v:stroke color="#000000" joinstyle="round"/>
                <v:imagedata o:title=""/>
                <o:lock v:ext="edit" aspectratio="f"/>
              </v:line>
            </w:pict>
          </mc:Fallback>
        </mc:AlternateContent>
      </w:r>
    </w:p>
    <w:p>
      <w:pPr>
        <w:ind w:firstLine="140" w:firstLineChars="50"/>
        <w:rPr>
          <w:rFonts w:hint="eastAsia" w:ascii="黑体" w:hAnsi="宋体" w:eastAsia="黑体"/>
          <w:color w:val="000000"/>
          <w:spacing w:val="0"/>
          <w:w w:val="100"/>
          <w:sz w:val="28"/>
          <w:szCs w:val="28"/>
        </w:rPr>
      </w:pPr>
      <w:r>
        <w:rPr>
          <w:rFonts w:hint="eastAsia" w:ascii="黑体" w:hAnsi="宋体" w:eastAsia="黑体"/>
          <w:color w:val="000000"/>
          <w:spacing w:val="0"/>
          <w:w w:val="100"/>
          <w:sz w:val="28"/>
          <w:szCs w:val="28"/>
        </w:rPr>
        <w:t xml:space="preserve">           </w:t>
      </w:r>
    </w:p>
    <w:p>
      <w:pPr>
        <w:jc w:val="center"/>
        <w:rPr>
          <w:rFonts w:hint="eastAsia" w:ascii="黑体" w:hAnsi="黑体" w:eastAsia="黑体" w:cs="黑体"/>
          <w:color w:val="000000"/>
          <w:spacing w:val="0"/>
          <w:w w:val="100"/>
          <w:sz w:val="52"/>
          <w:szCs w:val="52"/>
          <w:lang w:val="en-US" w:eastAsia="zh-CN"/>
        </w:rPr>
      </w:pPr>
      <w:r>
        <w:rPr>
          <w:rFonts w:hint="eastAsia" w:ascii="黑体" w:hAnsi="黑体" w:eastAsia="黑体" w:cs="黑体"/>
          <w:color w:val="000000"/>
          <w:spacing w:val="0"/>
          <w:w w:val="100"/>
          <w:sz w:val="52"/>
          <w:szCs w:val="52"/>
          <w:lang w:val="en-US" w:eastAsia="zh-CN"/>
        </w:rPr>
        <w:t>赣州市市场监督管理局</w:t>
      </w:r>
    </w:p>
    <w:p>
      <w:pPr>
        <w:adjustRightInd w:val="0"/>
        <w:snapToGrid w:val="0"/>
        <w:spacing w:line="360" w:lineRule="auto"/>
        <w:jc w:val="center"/>
        <w:rPr>
          <w:rFonts w:hint="eastAsia" w:ascii="方正小标宋_GBK" w:hAnsi="方正小标宋_GBK" w:eastAsia="黑体" w:cs="方正小标宋_GBK"/>
          <w:sz w:val="32"/>
          <w:szCs w:val="32"/>
          <w:lang w:eastAsia="zh-CN"/>
        </w:rPr>
      </w:pPr>
      <w:r>
        <w:rPr>
          <w:rFonts w:hint="eastAsia" w:ascii="黑体" w:hAnsi="黑体" w:eastAsia="黑体" w:cs="黑体"/>
          <w:b/>
          <w:bCs/>
          <w:sz w:val="32"/>
          <w:szCs w:val="32"/>
        </w:rPr>
        <w:t>陶瓷砖产品质量监督抽查实施细则</w:t>
      </w:r>
      <w:r>
        <w:rPr>
          <w:rFonts w:hint="eastAsia" w:ascii="黑体" w:hAnsi="黑体" w:eastAsia="黑体" w:cs="黑体"/>
          <w:b/>
          <w:bCs/>
          <w:sz w:val="32"/>
          <w:szCs w:val="32"/>
          <w:lang w:eastAsia="zh-CN"/>
        </w:rPr>
        <w:t>（</w:t>
      </w:r>
      <w:r>
        <w:rPr>
          <w:rFonts w:hint="eastAsia" w:ascii="黑体" w:hAnsi="黑体" w:eastAsia="黑体" w:cs="黑体"/>
          <w:b/>
          <w:bCs/>
          <w:sz w:val="32"/>
          <w:szCs w:val="32"/>
          <w:lang w:val="en-US" w:eastAsia="zh-CN"/>
        </w:rPr>
        <w:t>2024</w:t>
      </w:r>
      <w:r>
        <w:rPr>
          <w:rFonts w:hint="eastAsia" w:ascii="黑体" w:hAnsi="黑体" w:eastAsia="黑体" w:cs="黑体"/>
          <w:b/>
          <w:bCs/>
          <w:sz w:val="32"/>
          <w:szCs w:val="32"/>
          <w:lang w:eastAsia="zh-CN"/>
        </w:rPr>
        <w:t>）</w:t>
      </w:r>
    </w:p>
    <w:p>
      <w:pPr>
        <w:adjustRightInd w:val="0"/>
        <w:snapToGrid w:val="0"/>
        <w:spacing w:line="360" w:lineRule="auto"/>
        <w:ind w:firstLine="481" w:firstLineChars="200"/>
        <w:rPr>
          <w:rFonts w:hint="eastAsia" w:ascii="宋体" w:hAnsi="宋体"/>
          <w:b/>
          <w:bCs/>
          <w:sz w:val="24"/>
        </w:rPr>
      </w:pPr>
    </w:p>
    <w:p>
      <w:pPr>
        <w:adjustRightInd w:val="0"/>
        <w:snapToGrid w:val="0"/>
        <w:spacing w:line="360" w:lineRule="auto"/>
        <w:rPr>
          <w:rFonts w:hint="eastAsia" w:ascii="黑体" w:hAnsi="黑体" w:eastAsia="黑体" w:cs="黑体"/>
          <w:b/>
          <w:bCs/>
          <w:sz w:val="21"/>
          <w:szCs w:val="21"/>
        </w:rPr>
      </w:pPr>
      <w:r>
        <w:rPr>
          <w:rFonts w:hint="eastAsia" w:ascii="黑体" w:hAnsi="黑体" w:eastAsia="黑体" w:cs="黑体"/>
          <w:b/>
          <w:bCs/>
          <w:sz w:val="21"/>
          <w:szCs w:val="21"/>
        </w:rPr>
        <w:t>1.范围</w:t>
      </w:r>
    </w:p>
    <w:p>
      <w:pPr>
        <w:adjustRightInd w:val="0"/>
        <w:snapToGri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本细则适用</w:t>
      </w:r>
      <w:r>
        <w:rPr>
          <w:rFonts w:hint="eastAsia" w:ascii="宋体" w:hAnsi="宋体" w:cs="宋体"/>
          <w:sz w:val="21"/>
          <w:szCs w:val="21"/>
          <w:lang w:val="en-US" w:eastAsia="zh-CN"/>
        </w:rPr>
        <w:t>赣州</w:t>
      </w:r>
      <w:r>
        <w:rPr>
          <w:rFonts w:hint="eastAsia" w:ascii="宋体" w:hAnsi="宋体" w:eastAsia="宋体" w:cs="宋体"/>
          <w:sz w:val="21"/>
          <w:szCs w:val="21"/>
          <w:lang w:val="en-US" w:eastAsia="zh-CN"/>
        </w:rPr>
        <w:t>市</w:t>
      </w:r>
      <w:r>
        <w:rPr>
          <w:rFonts w:hint="eastAsia" w:ascii="宋体" w:hAnsi="宋体" w:eastAsia="宋体" w:cs="宋体"/>
          <w:sz w:val="21"/>
          <w:szCs w:val="21"/>
        </w:rPr>
        <w:t>市场监督管理局组织的陶瓷砖产品质量监督抽查。抽查产品范围包括：</w:t>
      </w:r>
      <w:r>
        <w:rPr>
          <w:rFonts w:hint="eastAsia" w:ascii="宋体" w:hAnsi="宋体" w:cs="宋体"/>
          <w:sz w:val="21"/>
          <w:szCs w:val="21"/>
          <w:lang w:val="en-US" w:eastAsia="zh-CN"/>
        </w:rPr>
        <w:t>陶瓷砖等相关</w:t>
      </w:r>
      <w:r>
        <w:rPr>
          <w:rFonts w:hint="eastAsia" w:ascii="宋体" w:hAnsi="宋体" w:eastAsia="宋体" w:cs="宋体"/>
          <w:sz w:val="21"/>
          <w:szCs w:val="21"/>
        </w:rPr>
        <w:t>产品。</w:t>
      </w:r>
    </w:p>
    <w:p>
      <w:pPr>
        <w:adjustRightInd w:val="0"/>
        <w:snapToGri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本细则包括抽样</w:t>
      </w:r>
      <w:r>
        <w:rPr>
          <w:rFonts w:hint="eastAsia" w:ascii="宋体" w:hAnsi="宋体" w:cs="宋体"/>
          <w:sz w:val="21"/>
          <w:szCs w:val="21"/>
          <w:lang w:eastAsia="zh-CN"/>
        </w:rPr>
        <w:t>方法</w:t>
      </w:r>
      <w:r>
        <w:rPr>
          <w:rFonts w:hint="eastAsia" w:ascii="宋体" w:hAnsi="宋体" w:eastAsia="宋体" w:cs="宋体"/>
          <w:sz w:val="21"/>
          <w:szCs w:val="21"/>
        </w:rPr>
        <w:t>、检验</w:t>
      </w:r>
      <w:r>
        <w:rPr>
          <w:rFonts w:hint="eastAsia" w:ascii="宋体" w:hAnsi="宋体" w:cs="宋体"/>
          <w:sz w:val="21"/>
          <w:szCs w:val="21"/>
          <w:lang w:eastAsia="zh-CN"/>
        </w:rPr>
        <w:t>依据</w:t>
      </w:r>
      <w:r>
        <w:rPr>
          <w:rFonts w:hint="eastAsia" w:ascii="宋体" w:hAnsi="宋体" w:eastAsia="宋体" w:cs="宋体"/>
          <w:sz w:val="21"/>
          <w:szCs w:val="21"/>
        </w:rPr>
        <w:t>、判定</w:t>
      </w:r>
      <w:r>
        <w:rPr>
          <w:rFonts w:hint="eastAsia" w:ascii="宋体" w:hAnsi="宋体" w:cs="宋体"/>
          <w:sz w:val="21"/>
          <w:szCs w:val="21"/>
          <w:lang w:eastAsia="zh-CN"/>
        </w:rPr>
        <w:t>规则</w:t>
      </w:r>
      <w:r>
        <w:rPr>
          <w:rFonts w:hint="eastAsia" w:ascii="宋体" w:hAnsi="宋体" w:eastAsia="宋体" w:cs="宋体"/>
          <w:sz w:val="21"/>
          <w:szCs w:val="21"/>
        </w:rPr>
        <w:t>、异议处理等。</w:t>
      </w:r>
    </w:p>
    <w:p>
      <w:pPr>
        <w:snapToGrid w:val="0"/>
        <w:spacing w:beforeLines="0" w:afterLines="0" w:line="440" w:lineRule="exact"/>
        <w:rPr>
          <w:rFonts w:hint="eastAsia" w:ascii="黑体" w:hAnsi="黑体" w:eastAsia="黑体"/>
          <w:sz w:val="21"/>
        </w:rPr>
      </w:pPr>
      <w:r>
        <w:rPr>
          <w:rFonts w:hint="eastAsia" w:ascii="黑体" w:hAnsi="黑体" w:eastAsia="黑体"/>
          <w:sz w:val="21"/>
        </w:rPr>
        <w:t>1 抽样方法</w:t>
      </w:r>
    </w:p>
    <w:p>
      <w:pPr>
        <w:snapToGrid w:val="0"/>
        <w:spacing w:beforeLines="0" w:afterLines="0" w:line="440" w:lineRule="exact"/>
        <w:rPr>
          <w:rFonts w:hint="eastAsia" w:ascii="黑体" w:hAnsi="黑体" w:eastAsia="黑体"/>
          <w:sz w:val="21"/>
        </w:rPr>
      </w:pPr>
      <w:r>
        <w:rPr>
          <w:rFonts w:hint="eastAsia" w:ascii="黑体" w:hAnsi="黑体" w:eastAsia="黑体"/>
          <w:sz w:val="21"/>
        </w:rPr>
        <w:t>以随机抽样的方式在被抽样生产者、销售者的待销产品中抽取。</w:t>
      </w:r>
    </w:p>
    <w:p>
      <w:pPr>
        <w:snapToGrid w:val="0"/>
        <w:spacing w:beforeLines="0" w:afterLines="0" w:line="440" w:lineRule="exact"/>
        <w:rPr>
          <w:rFonts w:hint="eastAsia" w:ascii="黑体" w:hAnsi="黑体" w:eastAsia="黑体"/>
          <w:sz w:val="21"/>
          <w:lang w:eastAsia="zh-CN"/>
        </w:rPr>
      </w:pPr>
      <w:r>
        <w:rPr>
          <w:rFonts w:hint="eastAsia" w:ascii="黑体" w:hAnsi="黑体" w:eastAsia="黑体"/>
          <w:sz w:val="21"/>
        </w:rPr>
        <w:t>以随机抽样的方式</w:t>
      </w:r>
      <w:r>
        <w:rPr>
          <w:rFonts w:hint="eastAsia" w:ascii="黑体" w:hAnsi="黑体" w:eastAsia="黑体"/>
          <w:sz w:val="21"/>
          <w:lang w:eastAsia="zh-CN"/>
        </w:rPr>
        <w:t>抽取检验样品和备用样品</w:t>
      </w:r>
      <w:r>
        <w:rPr>
          <w:rFonts w:hint="eastAsia" w:ascii="黑体" w:hAnsi="黑体" w:eastAsia="黑体"/>
          <w:sz w:val="21"/>
          <w:lang w:val="en-US" w:eastAsia="zh-CN"/>
        </w:rPr>
        <w:t>。</w:t>
      </w:r>
    </w:p>
    <w:p>
      <w:pPr>
        <w:snapToGrid w:val="0"/>
        <w:spacing w:beforeLines="0" w:afterLines="0" w:line="440" w:lineRule="exact"/>
        <w:rPr>
          <w:rFonts w:hint="eastAsia" w:ascii="黑体" w:hAnsi="黑体" w:eastAsia="黑体"/>
          <w:sz w:val="21"/>
        </w:rPr>
      </w:pPr>
      <w:r>
        <w:rPr>
          <w:rFonts w:hint="eastAsia" w:ascii="黑体" w:hAnsi="黑体" w:eastAsia="黑体"/>
          <w:sz w:val="21"/>
        </w:rPr>
        <w:t>每批次抽取样品数量见表1。</w:t>
      </w:r>
    </w:p>
    <w:tbl>
      <w:tblPr>
        <w:tblStyle w:val="8"/>
        <w:tblW w:w="90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4"/>
        <w:gridCol w:w="1917"/>
        <w:gridCol w:w="2223"/>
        <w:gridCol w:w="2239"/>
        <w:gridCol w:w="19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4" w:type="dxa"/>
            <w:tcBorders>
              <w:top w:val="single" w:color="auto" w:sz="4" w:space="0"/>
              <w:left w:val="single" w:color="auto" w:sz="4" w:space="0"/>
              <w:bottom w:val="single" w:color="auto" w:sz="4" w:space="0"/>
              <w:right w:val="single" w:color="auto" w:sz="4" w:space="0"/>
            </w:tcBorders>
            <w:noWrap w:val="0"/>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1917" w:type="dxa"/>
            <w:tcBorders>
              <w:top w:val="single" w:color="auto" w:sz="4" w:space="0"/>
              <w:left w:val="nil"/>
              <w:bottom w:val="single" w:color="auto" w:sz="4" w:space="0"/>
              <w:right w:val="single" w:color="auto" w:sz="4" w:space="0"/>
            </w:tcBorders>
            <w:noWrap w:val="0"/>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产品种类</w:t>
            </w:r>
          </w:p>
        </w:tc>
        <w:tc>
          <w:tcPr>
            <w:tcW w:w="2223" w:type="dxa"/>
            <w:tcBorders>
              <w:top w:val="single" w:color="auto" w:sz="4" w:space="0"/>
              <w:left w:val="nil"/>
              <w:bottom w:val="single" w:color="auto" w:sz="4" w:space="0"/>
              <w:right w:val="single" w:color="auto" w:sz="4" w:space="0"/>
            </w:tcBorders>
            <w:noWrap w:val="0"/>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抽样数量（块）</w:t>
            </w:r>
          </w:p>
        </w:tc>
        <w:tc>
          <w:tcPr>
            <w:tcW w:w="2239" w:type="dxa"/>
            <w:tcBorders>
              <w:top w:val="single" w:color="auto" w:sz="4" w:space="0"/>
              <w:left w:val="nil"/>
              <w:bottom w:val="single" w:color="auto" w:sz="4" w:space="0"/>
              <w:right w:val="single" w:color="auto" w:sz="4" w:space="0"/>
            </w:tcBorders>
            <w:noWrap w:val="0"/>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检验样品数量（块）</w:t>
            </w:r>
          </w:p>
        </w:tc>
        <w:tc>
          <w:tcPr>
            <w:tcW w:w="1925" w:type="dxa"/>
            <w:tcBorders>
              <w:top w:val="single" w:color="auto" w:sz="4" w:space="0"/>
              <w:left w:val="nil"/>
              <w:bottom w:val="single" w:color="auto" w:sz="4" w:space="0"/>
              <w:right w:val="single" w:color="auto" w:sz="4" w:space="0"/>
            </w:tcBorders>
            <w:noWrap w:val="0"/>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备用样品数量（块）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4" w:type="dxa"/>
            <w:tcBorders>
              <w:top w:val="single" w:color="auto" w:sz="4" w:space="0"/>
              <w:left w:val="single" w:color="auto" w:sz="4" w:space="0"/>
              <w:bottom w:val="single" w:color="auto" w:sz="4" w:space="0"/>
              <w:right w:val="single" w:color="auto" w:sz="4" w:space="0"/>
            </w:tcBorders>
            <w:noWrap w:val="0"/>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1917" w:type="dxa"/>
            <w:tcBorders>
              <w:top w:val="single" w:color="auto" w:sz="4" w:space="0"/>
              <w:left w:val="nil"/>
              <w:bottom w:val="single" w:color="auto" w:sz="4" w:space="0"/>
              <w:right w:val="single" w:color="auto" w:sz="4" w:space="0"/>
            </w:tcBorders>
            <w:noWrap w:val="0"/>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单块瓷砖表面积＜0.04m2</w:t>
            </w:r>
          </w:p>
        </w:tc>
        <w:tc>
          <w:tcPr>
            <w:tcW w:w="2223" w:type="dxa"/>
            <w:tcBorders>
              <w:top w:val="single" w:color="auto" w:sz="4" w:space="0"/>
              <w:left w:val="nil"/>
              <w:bottom w:val="single" w:color="auto" w:sz="4" w:space="0"/>
              <w:right w:val="single" w:color="auto" w:sz="4" w:space="0"/>
            </w:tcBorders>
            <w:noWrap w:val="0"/>
            <w:vAlign w:val="center"/>
          </w:tcPr>
          <w:p>
            <w:pPr>
              <w:snapToGrid w:val="0"/>
              <w:spacing w:line="32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不少于</w:t>
            </w:r>
            <w:r>
              <w:rPr>
                <w:rFonts w:hint="eastAsia" w:ascii="宋体" w:hAnsi="宋体" w:eastAsia="宋体" w:cs="宋体"/>
                <w:color w:val="auto"/>
                <w:sz w:val="21"/>
                <w:szCs w:val="21"/>
                <w:lang w:val="en-US" w:eastAsia="zh-CN"/>
              </w:rPr>
              <w:t>68</w:t>
            </w:r>
          </w:p>
        </w:tc>
        <w:tc>
          <w:tcPr>
            <w:tcW w:w="2239" w:type="dxa"/>
            <w:tcBorders>
              <w:top w:val="single" w:color="auto" w:sz="4" w:space="0"/>
              <w:left w:val="nil"/>
              <w:bottom w:val="single" w:color="auto" w:sz="4" w:space="0"/>
              <w:right w:val="single" w:color="auto" w:sz="4" w:space="0"/>
            </w:tcBorders>
            <w:noWrap w:val="0"/>
            <w:vAlign w:val="center"/>
          </w:tcPr>
          <w:p>
            <w:pPr>
              <w:snapToGrid w:val="0"/>
              <w:spacing w:line="32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不少于</w:t>
            </w:r>
            <w:r>
              <w:rPr>
                <w:rFonts w:hint="eastAsia" w:ascii="宋体" w:hAnsi="宋体" w:eastAsia="宋体" w:cs="宋体"/>
                <w:color w:val="auto"/>
                <w:sz w:val="21"/>
                <w:szCs w:val="21"/>
                <w:lang w:val="en-US" w:eastAsia="zh-CN"/>
              </w:rPr>
              <w:t>34</w:t>
            </w:r>
          </w:p>
        </w:tc>
        <w:tc>
          <w:tcPr>
            <w:tcW w:w="1925" w:type="dxa"/>
            <w:tcBorders>
              <w:top w:val="single" w:color="auto" w:sz="4" w:space="0"/>
              <w:left w:val="nil"/>
              <w:bottom w:val="single" w:color="auto" w:sz="4" w:space="0"/>
              <w:right w:val="single" w:color="auto" w:sz="4" w:space="0"/>
            </w:tcBorders>
            <w:noWrap w:val="0"/>
            <w:vAlign w:val="center"/>
          </w:tcPr>
          <w:p>
            <w:pPr>
              <w:snapToGrid w:val="0"/>
              <w:spacing w:line="32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不少于</w:t>
            </w:r>
            <w:r>
              <w:rPr>
                <w:rFonts w:hint="eastAsia" w:ascii="宋体" w:hAnsi="宋体" w:eastAsia="宋体" w:cs="宋体"/>
                <w:color w:val="auto"/>
                <w:sz w:val="21"/>
                <w:szCs w:val="21"/>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4" w:type="dxa"/>
            <w:tcBorders>
              <w:top w:val="single" w:color="auto" w:sz="4" w:space="0"/>
              <w:left w:val="single" w:color="auto" w:sz="4" w:space="0"/>
              <w:bottom w:val="single" w:color="auto" w:sz="4" w:space="0"/>
              <w:right w:val="single" w:color="auto" w:sz="4" w:space="0"/>
            </w:tcBorders>
            <w:noWrap w:val="0"/>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2</w:t>
            </w:r>
          </w:p>
        </w:tc>
        <w:tc>
          <w:tcPr>
            <w:tcW w:w="1917" w:type="dxa"/>
            <w:tcBorders>
              <w:top w:val="single" w:color="auto" w:sz="4" w:space="0"/>
              <w:left w:val="nil"/>
              <w:bottom w:val="single" w:color="auto" w:sz="4" w:space="0"/>
              <w:right w:val="single" w:color="auto" w:sz="4" w:space="0"/>
            </w:tcBorders>
            <w:noWrap w:val="0"/>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单块瓷砖表面积≥0.04m2</w:t>
            </w:r>
          </w:p>
        </w:tc>
        <w:tc>
          <w:tcPr>
            <w:tcW w:w="2223" w:type="dxa"/>
            <w:tcBorders>
              <w:top w:val="single" w:color="auto" w:sz="4" w:space="0"/>
              <w:left w:val="nil"/>
              <w:bottom w:val="single" w:color="auto" w:sz="4" w:space="0"/>
              <w:right w:val="single" w:color="auto" w:sz="4" w:space="0"/>
            </w:tcBorders>
            <w:noWrap w:val="0"/>
            <w:vAlign w:val="center"/>
          </w:tcPr>
          <w:p>
            <w:pPr>
              <w:snapToGrid w:val="0"/>
              <w:spacing w:line="32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不少于</w:t>
            </w:r>
            <w:r>
              <w:rPr>
                <w:rFonts w:hint="eastAsia" w:ascii="宋体" w:hAnsi="宋体" w:eastAsia="宋体" w:cs="宋体"/>
                <w:color w:val="auto"/>
                <w:sz w:val="21"/>
                <w:szCs w:val="21"/>
                <w:lang w:val="en-US" w:eastAsia="zh-CN"/>
              </w:rPr>
              <w:t>48</w:t>
            </w:r>
          </w:p>
        </w:tc>
        <w:tc>
          <w:tcPr>
            <w:tcW w:w="2239" w:type="dxa"/>
            <w:tcBorders>
              <w:top w:val="single" w:color="auto" w:sz="4" w:space="0"/>
              <w:left w:val="nil"/>
              <w:bottom w:val="single" w:color="auto" w:sz="4" w:space="0"/>
              <w:right w:val="single" w:color="auto" w:sz="4" w:space="0"/>
            </w:tcBorders>
            <w:noWrap w:val="0"/>
            <w:vAlign w:val="center"/>
          </w:tcPr>
          <w:p>
            <w:pPr>
              <w:snapToGrid w:val="0"/>
              <w:spacing w:line="32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不少于</w:t>
            </w:r>
            <w:r>
              <w:rPr>
                <w:rFonts w:hint="eastAsia" w:ascii="宋体" w:hAnsi="宋体" w:eastAsia="宋体" w:cs="宋体"/>
                <w:color w:val="auto"/>
                <w:sz w:val="21"/>
                <w:szCs w:val="21"/>
                <w:lang w:val="en-US" w:eastAsia="zh-CN"/>
              </w:rPr>
              <w:t>24</w:t>
            </w:r>
          </w:p>
        </w:tc>
        <w:tc>
          <w:tcPr>
            <w:tcW w:w="1925" w:type="dxa"/>
            <w:tcBorders>
              <w:top w:val="single" w:color="auto" w:sz="4" w:space="0"/>
              <w:left w:val="nil"/>
              <w:bottom w:val="single" w:color="auto" w:sz="4" w:space="0"/>
              <w:right w:val="single" w:color="auto" w:sz="4" w:space="0"/>
            </w:tcBorders>
            <w:noWrap w:val="0"/>
            <w:vAlign w:val="center"/>
          </w:tcPr>
          <w:p>
            <w:pPr>
              <w:snapToGrid w:val="0"/>
              <w:spacing w:line="32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不少于</w:t>
            </w:r>
            <w:r>
              <w:rPr>
                <w:rFonts w:hint="eastAsia" w:ascii="宋体" w:hAnsi="宋体" w:eastAsia="宋体" w:cs="宋体"/>
                <w:color w:val="auto"/>
                <w:sz w:val="21"/>
                <w:szCs w:val="21"/>
                <w:lang w:val="en-US"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68" w:type="dxa"/>
            <w:gridSpan w:val="5"/>
            <w:tcBorders>
              <w:top w:val="single" w:color="auto" w:sz="4" w:space="0"/>
              <w:left w:val="single" w:color="auto" w:sz="4" w:space="0"/>
              <w:bottom w:val="single" w:color="auto" w:sz="4" w:space="0"/>
              <w:right w:val="single" w:color="auto" w:sz="4" w:space="0"/>
            </w:tcBorders>
            <w:noWrap w:val="0"/>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注：抽样时，应整箱抽取，不拆原包装。抽取满足检验样品和备用样品数量的最小包数的样品。</w:t>
            </w:r>
          </w:p>
        </w:tc>
      </w:tr>
    </w:tbl>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表1 抽取样品数量</w:t>
      </w:r>
    </w:p>
    <w:p>
      <w:pPr>
        <w:snapToGrid w:val="0"/>
        <w:spacing w:beforeLines="0" w:afterLines="0" w:line="440" w:lineRule="exact"/>
        <w:rPr>
          <w:rFonts w:hint="eastAsia" w:ascii="黑体" w:hAnsi="黑体" w:eastAsia="黑体"/>
          <w:sz w:val="21"/>
        </w:rPr>
      </w:pPr>
    </w:p>
    <w:p>
      <w:pPr>
        <w:snapToGrid w:val="0"/>
        <w:spacing w:beforeLines="0" w:afterLines="0" w:line="440" w:lineRule="exact"/>
        <w:rPr>
          <w:rFonts w:hint="eastAsia" w:ascii="黑体" w:hAnsi="黑体" w:eastAsia="黑体"/>
          <w:sz w:val="21"/>
        </w:rPr>
      </w:pPr>
      <w:r>
        <w:rPr>
          <w:rFonts w:hint="eastAsia" w:ascii="黑体" w:hAnsi="黑体" w:eastAsia="黑体"/>
          <w:sz w:val="21"/>
        </w:rPr>
        <w:t>2 检验依据</w:t>
      </w:r>
    </w:p>
    <w:tbl>
      <w:tblPr>
        <w:tblStyle w:val="8"/>
        <w:tblW w:w="9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7"/>
        <w:gridCol w:w="4805"/>
        <w:gridCol w:w="2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tblHeader/>
          <w:jc w:val="center"/>
        </w:trPr>
        <w:tc>
          <w:tcPr>
            <w:tcW w:w="1757" w:type="dxa"/>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4805" w:type="dxa"/>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检验项目</w:t>
            </w:r>
          </w:p>
        </w:tc>
        <w:tc>
          <w:tcPr>
            <w:tcW w:w="2695" w:type="dxa"/>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snapToGrid w:val="0"/>
              <w:spacing w:line="32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w:t>
            </w:r>
          </w:p>
        </w:tc>
        <w:tc>
          <w:tcPr>
            <w:tcW w:w="4805" w:type="dxa"/>
            <w:vAlign w:val="center"/>
          </w:tcPr>
          <w:p>
            <w:pPr>
              <w:snapToGrid w:val="0"/>
              <w:spacing w:line="32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吸水率</w:t>
            </w:r>
          </w:p>
        </w:tc>
        <w:tc>
          <w:tcPr>
            <w:tcW w:w="2695" w:type="dxa"/>
            <w:vAlign w:val="center"/>
          </w:tcPr>
          <w:p>
            <w:pPr>
              <w:snapToGrid w:val="0"/>
              <w:spacing w:line="32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GB/T 3810.3-2016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snapToGrid w:val="0"/>
              <w:spacing w:line="32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w:t>
            </w:r>
          </w:p>
        </w:tc>
        <w:tc>
          <w:tcPr>
            <w:tcW w:w="4805" w:type="dxa"/>
            <w:vAlign w:val="center"/>
          </w:tcPr>
          <w:p>
            <w:pPr>
              <w:snapToGrid w:val="0"/>
              <w:spacing w:line="32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断裂模数</w:t>
            </w:r>
          </w:p>
        </w:tc>
        <w:tc>
          <w:tcPr>
            <w:tcW w:w="2695" w:type="dxa"/>
            <w:vAlign w:val="center"/>
          </w:tcPr>
          <w:p>
            <w:pPr>
              <w:snapToGrid w:val="0"/>
              <w:spacing w:line="32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GB/T 3810.4-2016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snapToGrid w:val="0"/>
              <w:spacing w:line="32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w:t>
            </w:r>
          </w:p>
        </w:tc>
        <w:tc>
          <w:tcPr>
            <w:tcW w:w="4805" w:type="dxa"/>
            <w:vAlign w:val="center"/>
          </w:tcPr>
          <w:p>
            <w:pPr>
              <w:snapToGrid w:val="0"/>
              <w:spacing w:line="32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破坏强度</w:t>
            </w:r>
          </w:p>
        </w:tc>
        <w:tc>
          <w:tcPr>
            <w:tcW w:w="2695" w:type="dxa"/>
            <w:vAlign w:val="center"/>
          </w:tcPr>
          <w:p>
            <w:pPr>
              <w:snapToGrid w:val="0"/>
              <w:spacing w:line="32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GB/T 3810.4-2016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snapToGrid w:val="0"/>
              <w:spacing w:line="32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w:t>
            </w:r>
          </w:p>
        </w:tc>
        <w:tc>
          <w:tcPr>
            <w:tcW w:w="4805" w:type="dxa"/>
            <w:vAlign w:val="center"/>
          </w:tcPr>
          <w:p>
            <w:pPr>
              <w:snapToGrid w:val="0"/>
              <w:spacing w:line="32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无釉砖耐磨性</w:t>
            </w:r>
          </w:p>
        </w:tc>
        <w:tc>
          <w:tcPr>
            <w:tcW w:w="2695" w:type="dxa"/>
            <w:vAlign w:val="center"/>
          </w:tcPr>
          <w:p>
            <w:pPr>
              <w:snapToGrid w:val="0"/>
              <w:spacing w:line="32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GB/T 3810.6-2016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snapToGrid w:val="0"/>
              <w:spacing w:line="32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w:t>
            </w:r>
          </w:p>
        </w:tc>
        <w:tc>
          <w:tcPr>
            <w:tcW w:w="4805" w:type="dxa"/>
            <w:vAlign w:val="center"/>
          </w:tcPr>
          <w:p>
            <w:pPr>
              <w:snapToGrid w:val="0"/>
              <w:spacing w:line="32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抗釉裂性</w:t>
            </w:r>
          </w:p>
        </w:tc>
        <w:tc>
          <w:tcPr>
            <w:tcW w:w="2695" w:type="dxa"/>
            <w:vAlign w:val="center"/>
          </w:tcPr>
          <w:p>
            <w:pPr>
              <w:snapToGrid w:val="0"/>
              <w:spacing w:line="32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GB/T 3810.11-2016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snapToGrid w:val="0"/>
              <w:spacing w:line="32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6</w:t>
            </w:r>
          </w:p>
        </w:tc>
        <w:tc>
          <w:tcPr>
            <w:tcW w:w="4805" w:type="dxa"/>
            <w:vAlign w:val="center"/>
          </w:tcPr>
          <w:p>
            <w:pPr>
              <w:snapToGrid w:val="0"/>
              <w:spacing w:line="32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抗化学腐蚀性</w:t>
            </w:r>
          </w:p>
        </w:tc>
        <w:tc>
          <w:tcPr>
            <w:tcW w:w="2695" w:type="dxa"/>
            <w:vAlign w:val="center"/>
          </w:tcPr>
          <w:p>
            <w:pPr>
              <w:snapToGrid w:val="0"/>
              <w:spacing w:line="32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GB/T 3810.13-2016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snapToGrid w:val="0"/>
              <w:spacing w:line="32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7</w:t>
            </w:r>
          </w:p>
        </w:tc>
        <w:tc>
          <w:tcPr>
            <w:tcW w:w="4805" w:type="dxa"/>
            <w:vAlign w:val="center"/>
          </w:tcPr>
          <w:p>
            <w:pPr>
              <w:snapToGrid w:val="0"/>
              <w:spacing w:line="320" w:lineRule="exact"/>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耐污染性</w:t>
            </w:r>
          </w:p>
        </w:tc>
        <w:tc>
          <w:tcPr>
            <w:tcW w:w="2695" w:type="dxa"/>
            <w:vAlign w:val="center"/>
          </w:tcPr>
          <w:p>
            <w:pPr>
              <w:snapToGrid w:val="0"/>
              <w:spacing w:line="32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GB/T 3810.14-2016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snapToGrid w:val="0"/>
              <w:spacing w:line="32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8</w:t>
            </w:r>
          </w:p>
        </w:tc>
        <w:tc>
          <w:tcPr>
            <w:tcW w:w="4805" w:type="dxa"/>
            <w:vAlign w:val="center"/>
          </w:tcPr>
          <w:p>
            <w:pPr>
              <w:snapToGrid w:val="0"/>
              <w:spacing w:line="320" w:lineRule="exact"/>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放射性核素限量</w:t>
            </w:r>
          </w:p>
        </w:tc>
        <w:tc>
          <w:tcPr>
            <w:tcW w:w="2695" w:type="dxa"/>
            <w:vAlign w:val="center"/>
          </w:tcPr>
          <w:p>
            <w:pPr>
              <w:snapToGrid w:val="0"/>
              <w:spacing w:line="32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 6566-2010</w:t>
            </w:r>
          </w:p>
        </w:tc>
      </w:tr>
    </w:tbl>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rPr>
      </w:pPr>
      <w:r>
        <w:rPr>
          <w:rFonts w:hint="eastAsia" w:ascii="宋体" w:hAnsi="宋体" w:eastAsia="宋体"/>
          <w:sz w:val="21"/>
        </w:rPr>
        <w:t>表</w:t>
      </w:r>
      <w:r>
        <w:rPr>
          <w:rFonts w:hint="eastAsia" w:ascii="宋体" w:hAnsi="宋体" w:eastAsia="宋体"/>
          <w:sz w:val="21"/>
          <w:lang w:val="en-US" w:eastAsia="zh-CN"/>
        </w:rPr>
        <w:t>2 陶瓷砖检验</w:t>
      </w:r>
      <w:r>
        <w:rPr>
          <w:rFonts w:hint="eastAsia" w:ascii="宋体" w:hAnsi="宋体" w:eastAsia="宋体"/>
          <w:sz w:val="21"/>
        </w:rPr>
        <w:t>项目</w:t>
      </w:r>
    </w:p>
    <w:p>
      <w:pPr>
        <w:adjustRightInd w:val="0"/>
        <w:snapToGrid w:val="0"/>
        <w:spacing w:beforeLines="0" w:afterLines="0" w:line="440" w:lineRule="exact"/>
        <w:ind w:firstLine="420" w:firstLineChars="200"/>
        <w:rPr>
          <w:rFonts w:hint="eastAsia" w:ascii="宋体" w:hAnsi="宋体" w:eastAsia="宋体"/>
          <w:sz w:val="21"/>
        </w:rPr>
      </w:pPr>
    </w:p>
    <w:p>
      <w:pPr>
        <w:adjustRightInd w:val="0"/>
        <w:snapToGrid w:val="0"/>
        <w:spacing w:beforeLines="0" w:afterLines="0" w:line="440" w:lineRule="exact"/>
        <w:ind w:firstLine="420" w:firstLineChars="200"/>
        <w:rPr>
          <w:rFonts w:hint="eastAsia" w:ascii="宋体" w:hAnsi="宋体" w:eastAsia="宋体"/>
          <w:sz w:val="21"/>
        </w:rPr>
      </w:pPr>
      <w:r>
        <w:rPr>
          <w:rFonts w:hint="eastAsia" w:ascii="宋体" w:hAnsi="宋体" w:eastAsia="宋体"/>
          <w:sz w:val="21"/>
        </w:rPr>
        <w:t>执行企业标准、团体标准、地方标准的产品，检验项目参照上述内容执行。</w:t>
      </w:r>
    </w:p>
    <w:p>
      <w:pPr>
        <w:snapToGrid w:val="0"/>
        <w:spacing w:beforeLines="0" w:afterLines="0" w:line="440" w:lineRule="exact"/>
        <w:ind w:firstLine="420" w:firstLineChars="200"/>
        <w:rPr>
          <w:rFonts w:hint="eastAsia" w:ascii="宋体" w:hAnsi="宋体" w:eastAsia="宋体"/>
          <w:sz w:val="21"/>
        </w:rPr>
      </w:pPr>
      <w:r>
        <w:rPr>
          <w:rFonts w:hint="eastAsia" w:ascii="宋体" w:hAnsi="宋体" w:eastAsia="宋体"/>
          <w:sz w:val="21"/>
        </w:rPr>
        <w:t>凡是注日期的文件，其随后所有的修改单（不包括勘误的内容）或修订版不适用于本细则。凡是不注日期的文件，其最新版本适用于本细则。</w:t>
      </w:r>
    </w:p>
    <w:p>
      <w:pPr>
        <w:snapToGrid w:val="0"/>
        <w:spacing w:beforeLines="0" w:afterLines="0" w:line="440" w:lineRule="exact"/>
        <w:ind w:firstLine="420" w:firstLineChars="200"/>
        <w:rPr>
          <w:rFonts w:hint="eastAsia" w:ascii="宋体" w:hAnsi="宋体" w:eastAsia="宋体"/>
          <w:sz w:val="21"/>
        </w:rPr>
      </w:pPr>
    </w:p>
    <w:p>
      <w:pPr>
        <w:spacing w:beforeLines="0" w:afterLines="0" w:line="440" w:lineRule="exact"/>
        <w:rPr>
          <w:rFonts w:hint="eastAsia" w:ascii="黑体" w:hAnsi="黑体" w:eastAsia="黑体"/>
          <w:sz w:val="21"/>
        </w:rPr>
      </w:pPr>
      <w:r>
        <w:rPr>
          <w:rFonts w:hint="eastAsia" w:ascii="黑体" w:hAnsi="黑体" w:eastAsia="黑体"/>
          <w:sz w:val="21"/>
        </w:rPr>
        <w:t>3 判定规则</w:t>
      </w:r>
    </w:p>
    <w:p>
      <w:pPr>
        <w:snapToGrid w:val="0"/>
        <w:spacing w:beforeLines="0" w:afterLines="0" w:line="440" w:lineRule="exact"/>
        <w:rPr>
          <w:rFonts w:hint="eastAsia" w:ascii="宋体" w:hAnsi="宋体" w:eastAsia="宋体"/>
          <w:sz w:val="21"/>
        </w:rPr>
      </w:pPr>
      <w:r>
        <w:rPr>
          <w:rFonts w:hint="eastAsia" w:ascii="宋体" w:hAnsi="宋体" w:eastAsia="宋体"/>
          <w:sz w:val="21"/>
        </w:rPr>
        <w:t xml:space="preserve">3.1依据标准 </w:t>
      </w:r>
    </w:p>
    <w:p>
      <w:pPr>
        <w:spacing w:beforeLines="0" w:afterLines="0" w:line="440" w:lineRule="exact"/>
        <w:ind w:firstLine="420" w:firstLineChars="200"/>
        <w:rPr>
          <w:rFonts w:hint="eastAsia" w:ascii="宋体" w:hAnsi="宋体" w:eastAsia="宋体"/>
          <w:color w:val="000000"/>
          <w:sz w:val="21"/>
        </w:rPr>
      </w:pPr>
      <w:r>
        <w:rPr>
          <w:rFonts w:hint="eastAsia" w:ascii="宋体" w:hAnsi="宋体" w:eastAsia="宋体"/>
          <w:color w:val="000000"/>
          <w:sz w:val="21"/>
        </w:rPr>
        <w:t>GB/T 4100-2015</w:t>
      </w:r>
      <w:r>
        <w:rPr>
          <w:rFonts w:hint="eastAsia" w:ascii="宋体" w:hAnsi="宋体" w:eastAsia="宋体"/>
          <w:color w:val="000000"/>
          <w:sz w:val="21"/>
          <w:lang w:val="en-US" w:eastAsia="zh-CN"/>
        </w:rPr>
        <w:t xml:space="preserve">  </w:t>
      </w:r>
      <w:r>
        <w:rPr>
          <w:rFonts w:hint="eastAsia" w:ascii="宋体" w:hAnsi="宋体" w:eastAsia="宋体"/>
          <w:color w:val="000000"/>
          <w:sz w:val="21"/>
        </w:rPr>
        <w:t>陶瓷砖</w:t>
      </w:r>
    </w:p>
    <w:p>
      <w:pPr>
        <w:spacing w:beforeLines="0" w:afterLines="0" w:line="440" w:lineRule="exact"/>
        <w:ind w:firstLine="420" w:firstLineChars="200"/>
        <w:rPr>
          <w:rFonts w:hint="eastAsia" w:ascii="宋体" w:hAnsi="宋体" w:eastAsia="宋体"/>
          <w:color w:val="000000"/>
          <w:sz w:val="21"/>
        </w:rPr>
      </w:pPr>
      <w:r>
        <w:rPr>
          <w:rFonts w:hint="eastAsia" w:ascii="宋体" w:hAnsi="宋体" w:eastAsia="宋体"/>
          <w:color w:val="000000"/>
          <w:sz w:val="21"/>
        </w:rPr>
        <w:t>GB 6566-2010</w:t>
      </w:r>
      <w:r>
        <w:rPr>
          <w:rFonts w:hint="eastAsia" w:ascii="宋体" w:hAnsi="宋体" w:eastAsia="宋体"/>
          <w:color w:val="000000"/>
          <w:sz w:val="21"/>
          <w:lang w:val="en-US" w:eastAsia="zh-CN"/>
        </w:rPr>
        <w:t xml:space="preserve">  </w:t>
      </w:r>
      <w:r>
        <w:rPr>
          <w:rFonts w:hint="eastAsia" w:ascii="宋体" w:hAnsi="宋体" w:eastAsia="宋体"/>
          <w:color w:val="000000"/>
          <w:sz w:val="21"/>
        </w:rPr>
        <w:t>建筑材料放射性核素限量</w:t>
      </w:r>
    </w:p>
    <w:p>
      <w:pPr>
        <w:spacing w:beforeLines="0" w:afterLines="0" w:line="440" w:lineRule="exact"/>
        <w:ind w:firstLine="420" w:firstLineChars="200"/>
        <w:rPr>
          <w:rFonts w:hint="eastAsia" w:ascii="宋体" w:hAnsi="宋体" w:eastAsia="宋体"/>
          <w:strike/>
          <w:color w:val="000000"/>
          <w:sz w:val="21"/>
        </w:rPr>
      </w:pPr>
      <w:r>
        <w:rPr>
          <w:rFonts w:hint="eastAsia" w:ascii="宋体" w:hAnsi="宋体" w:eastAsia="宋体"/>
          <w:color w:val="000000"/>
          <w:sz w:val="21"/>
        </w:rPr>
        <w:t>现行有效的企业标准、团体标准、地方标准及产品明示质量要求</w:t>
      </w:r>
    </w:p>
    <w:p>
      <w:pPr>
        <w:snapToGrid w:val="0"/>
        <w:spacing w:beforeLines="0" w:afterLines="0" w:line="440" w:lineRule="exact"/>
        <w:rPr>
          <w:rFonts w:hint="eastAsia" w:ascii="宋体" w:hAnsi="宋体" w:eastAsia="宋体"/>
          <w:color w:val="000000"/>
          <w:sz w:val="21"/>
        </w:rPr>
      </w:pPr>
      <w:r>
        <w:rPr>
          <w:rFonts w:hint="eastAsia" w:ascii="宋体" w:hAnsi="宋体" w:eastAsia="宋体"/>
          <w:color w:val="000000"/>
          <w:sz w:val="21"/>
        </w:rPr>
        <w:t>3.2判定原则</w:t>
      </w:r>
    </w:p>
    <w:p>
      <w:pPr>
        <w:snapToGrid w:val="0"/>
        <w:spacing w:beforeLines="0" w:afterLines="0" w:line="440" w:lineRule="exact"/>
        <w:ind w:firstLine="420" w:firstLineChars="200"/>
        <w:rPr>
          <w:rFonts w:hint="eastAsia" w:ascii="宋体" w:hAnsi="宋体" w:eastAsia="宋体"/>
          <w:color w:val="000000"/>
          <w:sz w:val="21"/>
        </w:rPr>
      </w:pPr>
      <w:r>
        <w:rPr>
          <w:rFonts w:hint="eastAsia" w:ascii="宋体" w:hAnsi="宋体" w:eastAsia="宋体"/>
          <w:color w:val="000000"/>
          <w:sz w:val="21"/>
        </w:rPr>
        <w:t>经检验，检验项目全部合格，判定为被抽查产品所检项目未发现不合格；检验项目中任一项或一项以上不合格，判定为被抽查产品不合格。</w:t>
      </w:r>
    </w:p>
    <w:p>
      <w:pPr>
        <w:snapToGrid w:val="0"/>
        <w:spacing w:beforeLines="0" w:afterLines="0" w:line="440" w:lineRule="exact"/>
        <w:ind w:firstLine="417" w:firstLineChars="199"/>
        <w:rPr>
          <w:rFonts w:hint="eastAsia" w:ascii="宋体" w:hAnsi="宋体" w:eastAsia="宋体"/>
          <w:color w:val="000000"/>
          <w:sz w:val="21"/>
        </w:rPr>
      </w:pPr>
      <w:r>
        <w:rPr>
          <w:rFonts w:hint="eastAsia" w:ascii="宋体" w:hAnsi="宋体" w:eastAsia="宋体"/>
          <w:color w:val="000000"/>
          <w:sz w:val="21"/>
        </w:rPr>
        <w:t>若被检产品明示的质量要求高于本细则中检验项目依据的标准要求时，应按被检产品明示的质量要求判定。</w:t>
      </w:r>
    </w:p>
    <w:p>
      <w:pPr>
        <w:snapToGrid w:val="0"/>
        <w:spacing w:beforeLines="0" w:afterLines="0" w:line="440" w:lineRule="exact"/>
        <w:ind w:firstLine="417" w:firstLineChars="199"/>
        <w:rPr>
          <w:rFonts w:hint="eastAsia" w:ascii="宋体" w:hAnsi="宋体" w:eastAsia="宋体"/>
          <w:color w:val="000000"/>
          <w:sz w:val="21"/>
        </w:rPr>
      </w:pPr>
      <w:r>
        <w:rPr>
          <w:rFonts w:hint="eastAsia" w:ascii="宋体" w:hAnsi="宋体" w:eastAsia="宋体"/>
          <w:color w:val="000000"/>
          <w:sz w:val="21"/>
        </w:rPr>
        <w:t>若被检产品明示的质量要求低于本细则中检验项目依据的强制性标准要求时，应按照强制性标准要求判定。</w:t>
      </w:r>
    </w:p>
    <w:p>
      <w:pPr>
        <w:snapToGrid w:val="0"/>
        <w:spacing w:beforeLines="0" w:afterLines="0" w:line="440" w:lineRule="exact"/>
        <w:ind w:firstLine="417" w:firstLineChars="199"/>
        <w:rPr>
          <w:rFonts w:hint="eastAsia" w:ascii="宋体" w:hAnsi="宋体" w:eastAsia="宋体"/>
          <w:color w:val="000000"/>
          <w:sz w:val="21"/>
        </w:rPr>
      </w:pPr>
      <w:r>
        <w:rPr>
          <w:rFonts w:hint="eastAsia" w:ascii="宋体" w:hAnsi="宋体" w:eastAsia="宋体"/>
          <w:color w:val="000000"/>
          <w:sz w:val="21"/>
        </w:rPr>
        <w:t>若被检产品明示的质量要求低于或包含本细则中检验项目依据的推荐性标准要求时，应以被检产品明示的质量要求判定。</w:t>
      </w:r>
    </w:p>
    <w:p>
      <w:pPr>
        <w:snapToGrid w:val="0"/>
        <w:spacing w:beforeLines="0" w:afterLines="0" w:line="440" w:lineRule="exact"/>
        <w:ind w:firstLine="417" w:firstLineChars="199"/>
        <w:rPr>
          <w:rFonts w:hint="eastAsia" w:ascii="宋体" w:hAnsi="宋体" w:eastAsia="宋体"/>
          <w:color w:val="000000"/>
          <w:sz w:val="21"/>
        </w:rPr>
      </w:pPr>
      <w:r>
        <w:rPr>
          <w:rFonts w:hint="eastAsia" w:ascii="宋体" w:hAnsi="宋体" w:eastAsia="宋体"/>
          <w:color w:val="000000"/>
          <w:sz w:val="21"/>
        </w:rPr>
        <w:t>若被检产品明示的质量要求缺少本细则中检验项目依据的强制性标准要求时，应按照强制性标准要求判定。</w:t>
      </w:r>
    </w:p>
    <w:p>
      <w:pPr>
        <w:snapToGrid w:val="0"/>
        <w:spacing w:beforeLines="0" w:afterLines="0" w:line="440" w:lineRule="exact"/>
        <w:ind w:firstLine="417" w:firstLineChars="199"/>
        <w:rPr>
          <w:rFonts w:hint="eastAsia" w:ascii="宋体" w:hAnsi="宋体" w:eastAsia="宋体"/>
          <w:color w:val="000000"/>
          <w:sz w:val="21"/>
        </w:rPr>
      </w:pPr>
      <w:r>
        <w:rPr>
          <w:rFonts w:hint="eastAsia" w:ascii="宋体" w:hAnsi="宋体" w:eastAsia="宋体"/>
          <w:color w:val="000000"/>
          <w:sz w:val="21"/>
        </w:rPr>
        <w:t>若被检产品明示的质量要求缺少本细则中检验项目依据的推荐性标准要求时，该项目不参与判定。</w:t>
      </w:r>
    </w:p>
    <w:p>
      <w:pPr>
        <w:spacing w:beforeLines="0" w:afterLines="0" w:line="440" w:lineRule="exact"/>
        <w:rPr>
          <w:rFonts w:hint="eastAsia" w:ascii="黑体" w:hAnsi="黑体" w:eastAsia="黑体"/>
          <w:sz w:val="21"/>
        </w:rPr>
      </w:pPr>
      <w:r>
        <w:rPr>
          <w:rFonts w:hint="eastAsia" w:ascii="黑体" w:hAnsi="黑体" w:eastAsia="黑体"/>
          <w:sz w:val="21"/>
          <w:lang w:val="en-US" w:eastAsia="zh-CN"/>
        </w:rPr>
        <w:t>4</w:t>
      </w:r>
      <w:r>
        <w:rPr>
          <w:rFonts w:hint="eastAsia" w:ascii="黑体" w:hAnsi="黑体" w:eastAsia="黑体"/>
          <w:sz w:val="21"/>
        </w:rPr>
        <w:t xml:space="preserve"> 异议处理</w:t>
      </w:r>
    </w:p>
    <w:p>
      <w:pPr>
        <w:snapToGrid w:val="0"/>
        <w:spacing w:beforeLines="0" w:afterLines="0" w:line="440" w:lineRule="exact"/>
        <w:rPr>
          <w:rFonts w:hint="eastAsia" w:ascii="宋体" w:hAnsi="宋体" w:eastAsia="宋体"/>
          <w:color w:val="000000"/>
          <w:sz w:val="21"/>
        </w:rPr>
      </w:pPr>
      <w:r>
        <w:rPr>
          <w:rFonts w:hint="eastAsia" w:ascii="宋体" w:hAnsi="宋体" w:eastAsia="宋体"/>
          <w:color w:val="000000"/>
          <w:sz w:val="21"/>
          <w:lang w:val="en-US" w:eastAsia="zh-CN"/>
        </w:rPr>
        <w:t>4</w:t>
      </w:r>
      <w:r>
        <w:rPr>
          <w:rFonts w:hint="eastAsia" w:ascii="宋体" w:hAnsi="宋体" w:eastAsia="宋体"/>
          <w:color w:val="000000"/>
          <w:sz w:val="21"/>
        </w:rPr>
        <w:t>.1 复查</w:t>
      </w:r>
    </w:p>
    <w:p>
      <w:pPr>
        <w:snapToGrid w:val="0"/>
        <w:spacing w:beforeLines="0" w:afterLines="0" w:line="440" w:lineRule="exact"/>
        <w:ind w:firstLine="417" w:firstLineChars="199"/>
        <w:rPr>
          <w:rFonts w:hint="eastAsia" w:ascii="宋体" w:hAnsi="宋体" w:eastAsia="宋体"/>
          <w:color w:val="000000"/>
          <w:sz w:val="21"/>
        </w:rPr>
      </w:pPr>
      <w:r>
        <w:rPr>
          <w:rFonts w:hint="eastAsia" w:ascii="宋体" w:hAnsi="宋体" w:eastAsia="宋体"/>
          <w:color w:val="000000"/>
          <w:sz w:val="21"/>
        </w:rPr>
        <w:t>被抽样生产者、销售者对抽样过程、样品真实性等有异议的，收到异议处理申请的</w:t>
      </w:r>
      <w:r>
        <w:rPr>
          <w:rFonts w:hint="eastAsia" w:ascii="宋体" w:hAnsi="宋体" w:eastAsia="宋体"/>
          <w:color w:val="000000"/>
          <w:sz w:val="21"/>
          <w:lang w:val="en-US" w:eastAsia="zh-CN"/>
        </w:rPr>
        <w:t>赣州市</w:t>
      </w:r>
      <w:r>
        <w:rPr>
          <w:rFonts w:hint="eastAsia" w:ascii="宋体" w:hAnsi="宋体" w:eastAsia="宋体"/>
          <w:color w:val="000000"/>
          <w:sz w:val="21"/>
        </w:rPr>
        <w:t>市场监督管理局组织异议处理，并将处理结论书面告知申请人。</w:t>
      </w:r>
    </w:p>
    <w:p>
      <w:pPr>
        <w:snapToGrid w:val="0"/>
        <w:spacing w:beforeLines="0" w:afterLines="0" w:line="440" w:lineRule="exact"/>
        <w:rPr>
          <w:rFonts w:hint="eastAsia" w:ascii="宋体" w:hAnsi="宋体" w:eastAsia="宋体"/>
          <w:color w:val="000000"/>
          <w:sz w:val="21"/>
          <w:lang w:val="en-US" w:eastAsia="zh-CN"/>
        </w:rPr>
      </w:pPr>
      <w:bookmarkStart w:id="1" w:name="_GoBack"/>
      <w:r>
        <w:rPr>
          <w:rFonts w:hint="eastAsia" w:ascii="宋体" w:hAnsi="宋体" w:eastAsia="宋体"/>
          <w:color w:val="000000"/>
          <w:sz w:val="21"/>
          <w:lang w:val="en-US" w:eastAsia="zh-CN"/>
        </w:rPr>
        <w:t>4.2 复检</w:t>
      </w:r>
    </w:p>
    <w:bookmarkEnd w:id="1"/>
    <w:p>
      <w:pPr>
        <w:snapToGrid w:val="0"/>
        <w:spacing w:beforeLines="0" w:afterLines="0" w:line="440" w:lineRule="exact"/>
        <w:rPr>
          <w:rFonts w:hint="eastAsia" w:ascii="宋体" w:hAnsi="宋体" w:eastAsia="宋体"/>
          <w:color w:val="000000"/>
          <w:sz w:val="21"/>
        </w:rPr>
      </w:pPr>
      <w:r>
        <w:rPr>
          <w:rFonts w:hint="eastAsia" w:ascii="宋体" w:hAnsi="宋体" w:eastAsia="宋体"/>
          <w:color w:val="000000"/>
          <w:sz w:val="21"/>
          <w:lang w:val="en-US" w:eastAsia="zh-CN"/>
        </w:rPr>
        <w:t>4</w:t>
      </w:r>
      <w:r>
        <w:rPr>
          <w:rFonts w:hint="eastAsia" w:ascii="宋体" w:hAnsi="宋体" w:eastAsia="宋体"/>
          <w:color w:val="000000"/>
          <w:sz w:val="21"/>
        </w:rPr>
        <w:t>.2.1被抽样销售者对检验结论有异议的，应当自收到检验结论书面告知之日起十五日内向</w:t>
      </w:r>
      <w:r>
        <w:rPr>
          <w:rFonts w:hint="eastAsia" w:ascii="宋体" w:hAnsi="宋体"/>
          <w:color w:val="000000"/>
          <w:sz w:val="21"/>
          <w:lang w:eastAsia="zh-CN"/>
        </w:rPr>
        <w:t>赣州</w:t>
      </w:r>
      <w:r>
        <w:rPr>
          <w:rFonts w:hint="eastAsia" w:ascii="宋体" w:hAnsi="宋体" w:eastAsia="宋体"/>
          <w:color w:val="000000"/>
          <w:sz w:val="21"/>
        </w:rPr>
        <w:t>市市场监督管理局提出书面异议处理申请，并提交相关材料。</w:t>
      </w:r>
    </w:p>
    <w:p>
      <w:pPr>
        <w:snapToGrid w:val="0"/>
        <w:spacing w:beforeLines="0" w:afterLines="0" w:line="440" w:lineRule="exact"/>
        <w:rPr>
          <w:rFonts w:hint="eastAsia" w:ascii="宋体" w:hAnsi="宋体" w:eastAsia="宋体"/>
          <w:color w:val="000000"/>
          <w:sz w:val="21"/>
        </w:rPr>
      </w:pPr>
      <w:r>
        <w:rPr>
          <w:rFonts w:hint="eastAsia" w:ascii="宋体" w:hAnsi="宋体" w:eastAsia="宋体"/>
          <w:color w:val="000000"/>
          <w:sz w:val="21"/>
          <w:lang w:val="en-US" w:eastAsia="zh-CN"/>
        </w:rPr>
        <w:t>4</w:t>
      </w:r>
      <w:r>
        <w:rPr>
          <w:rFonts w:hint="eastAsia" w:ascii="宋体" w:hAnsi="宋体" w:eastAsia="宋体"/>
          <w:color w:val="000000"/>
          <w:sz w:val="21"/>
        </w:rPr>
        <w:t>.2.2 被抽样销售者对检验结论有异议，提出书面复检申请并阐明理由的，收到异议处理申请经</w:t>
      </w:r>
      <w:r>
        <w:rPr>
          <w:rFonts w:hint="eastAsia" w:ascii="宋体" w:hAnsi="宋体"/>
          <w:color w:val="000000"/>
          <w:sz w:val="21"/>
          <w:lang w:eastAsia="zh-CN"/>
        </w:rPr>
        <w:t>赣州</w:t>
      </w:r>
      <w:r>
        <w:rPr>
          <w:rFonts w:hint="eastAsia" w:ascii="宋体" w:hAnsi="宋体" w:eastAsia="宋体"/>
          <w:color w:val="000000"/>
          <w:sz w:val="21"/>
        </w:rPr>
        <w:t>市市场监督管理局组织研究，对需要复检并具备检验条件的，组织复检。</w:t>
      </w:r>
    </w:p>
    <w:p>
      <w:pPr>
        <w:snapToGrid w:val="0"/>
        <w:spacing w:beforeLines="0" w:afterLines="0" w:line="440" w:lineRule="exact"/>
        <w:rPr>
          <w:rFonts w:hint="eastAsia" w:ascii="宋体" w:hAnsi="宋体" w:eastAsia="宋体"/>
          <w:color w:val="000000"/>
          <w:sz w:val="21"/>
        </w:rPr>
      </w:pPr>
      <w:r>
        <w:rPr>
          <w:rFonts w:hint="eastAsia" w:ascii="宋体" w:hAnsi="宋体" w:eastAsia="宋体"/>
          <w:color w:val="000000"/>
          <w:sz w:val="21"/>
          <w:lang w:val="en-US" w:eastAsia="zh-CN"/>
        </w:rPr>
        <w:t>4</w:t>
      </w:r>
      <w:r>
        <w:rPr>
          <w:rFonts w:hint="eastAsia" w:ascii="宋体" w:hAnsi="宋体" w:eastAsia="宋体"/>
          <w:color w:val="000000"/>
          <w:sz w:val="21"/>
        </w:rPr>
        <w:t>.2.3 申请人应当自收到市场监督管理部门复检通知之日起七日内办理复检手续。逾期未办理的，视为放弃复检。</w:t>
      </w:r>
    </w:p>
    <w:p>
      <w:pPr>
        <w:snapToGrid w:val="0"/>
        <w:spacing w:beforeLines="0" w:afterLines="0" w:line="440" w:lineRule="exact"/>
        <w:rPr>
          <w:rFonts w:hint="eastAsia" w:ascii="宋体" w:hAnsi="宋体" w:eastAsia="宋体"/>
          <w:color w:val="000000"/>
          <w:sz w:val="21"/>
        </w:rPr>
      </w:pPr>
      <w:r>
        <w:rPr>
          <w:rFonts w:hint="eastAsia" w:ascii="宋体" w:hAnsi="宋体" w:eastAsia="宋体"/>
          <w:color w:val="000000"/>
          <w:sz w:val="21"/>
          <w:lang w:val="en-US" w:eastAsia="zh-CN"/>
        </w:rPr>
        <w:t>4</w:t>
      </w:r>
      <w:r>
        <w:rPr>
          <w:rFonts w:hint="eastAsia" w:ascii="宋体" w:hAnsi="宋体" w:eastAsia="宋体"/>
          <w:color w:val="000000"/>
          <w:sz w:val="21"/>
        </w:rPr>
        <w:t xml:space="preserve">.2.4 </w:t>
      </w:r>
      <w:r>
        <w:rPr>
          <w:rFonts w:hint="eastAsia" w:ascii="宋体" w:hAnsi="宋体"/>
          <w:color w:val="000000"/>
          <w:sz w:val="21"/>
          <w:lang w:eastAsia="zh-CN"/>
        </w:rPr>
        <w:t>赣州</w:t>
      </w:r>
      <w:r>
        <w:rPr>
          <w:rFonts w:hint="eastAsia" w:ascii="宋体" w:hAnsi="宋体" w:eastAsia="宋体"/>
          <w:color w:val="000000"/>
          <w:sz w:val="21"/>
        </w:rPr>
        <w:t>市市场监督管理局自申请人办理复检手续之日起十日内确定具备相应资质的检验机构进行复检。</w:t>
      </w:r>
    </w:p>
    <w:p>
      <w:pPr>
        <w:snapToGrid w:val="0"/>
        <w:spacing w:beforeLines="0" w:afterLines="0" w:line="440" w:lineRule="exact"/>
        <w:rPr>
          <w:rFonts w:hint="eastAsia" w:ascii="宋体" w:hAnsi="宋体" w:eastAsia="宋体"/>
          <w:color w:val="000000"/>
          <w:sz w:val="21"/>
        </w:rPr>
      </w:pPr>
      <w:r>
        <w:rPr>
          <w:rFonts w:hint="eastAsia" w:ascii="宋体" w:hAnsi="宋体" w:eastAsia="宋体"/>
          <w:color w:val="000000"/>
          <w:sz w:val="21"/>
          <w:lang w:val="en-US" w:eastAsia="zh-CN"/>
        </w:rPr>
        <w:t>4</w:t>
      </w:r>
      <w:r>
        <w:rPr>
          <w:rFonts w:hint="eastAsia" w:ascii="宋体" w:hAnsi="宋体" w:eastAsia="宋体"/>
          <w:color w:val="000000"/>
          <w:sz w:val="21"/>
        </w:rPr>
        <w:t>.2.5 被抽样销售者隐匿、转移、变卖、损毁备用样品的，应当终止复检，并以初检结论为最终结论。</w:t>
      </w:r>
    </w:p>
    <w:p>
      <w:pPr>
        <w:snapToGrid w:val="0"/>
        <w:spacing w:beforeLines="0" w:afterLines="0" w:line="440" w:lineRule="exact"/>
        <w:rPr>
          <w:rFonts w:hint="eastAsia" w:ascii="宋体" w:hAnsi="宋体" w:eastAsia="宋体"/>
          <w:color w:val="000000"/>
          <w:sz w:val="21"/>
        </w:rPr>
      </w:pPr>
      <w:r>
        <w:rPr>
          <w:rFonts w:hint="eastAsia" w:ascii="宋体" w:hAnsi="宋体" w:eastAsia="宋体"/>
          <w:color w:val="000000"/>
          <w:sz w:val="21"/>
          <w:lang w:val="en-US" w:eastAsia="zh-CN"/>
        </w:rPr>
        <w:t>4</w:t>
      </w:r>
      <w:r>
        <w:rPr>
          <w:rFonts w:hint="eastAsia" w:ascii="宋体" w:hAnsi="宋体" w:eastAsia="宋体"/>
          <w:color w:val="000000"/>
          <w:sz w:val="21"/>
        </w:rPr>
        <w:t>.2.6 复检机构应当在规定时间内按照监督抽查实施细则所规定的检验方法、判定规则等对与异议相关的检验项目进行复检，并将复检结论及时报送</w:t>
      </w:r>
      <w:r>
        <w:rPr>
          <w:rFonts w:hint="eastAsia" w:ascii="宋体" w:hAnsi="宋体"/>
          <w:color w:val="000000"/>
          <w:sz w:val="21"/>
          <w:lang w:eastAsia="zh-CN"/>
        </w:rPr>
        <w:t>赣州</w:t>
      </w:r>
      <w:r>
        <w:rPr>
          <w:rFonts w:hint="eastAsia" w:ascii="宋体" w:hAnsi="宋体" w:eastAsia="宋体"/>
          <w:color w:val="000000"/>
          <w:sz w:val="21"/>
        </w:rPr>
        <w:t>市市场监督管理局，由</w:t>
      </w:r>
      <w:r>
        <w:rPr>
          <w:rFonts w:hint="eastAsia" w:ascii="宋体" w:hAnsi="宋体"/>
          <w:color w:val="000000"/>
          <w:sz w:val="21"/>
          <w:lang w:eastAsia="zh-CN"/>
        </w:rPr>
        <w:t>赣州</w:t>
      </w:r>
      <w:r>
        <w:rPr>
          <w:rFonts w:hint="eastAsia" w:ascii="宋体" w:hAnsi="宋体" w:eastAsia="宋体"/>
          <w:color w:val="000000"/>
          <w:sz w:val="21"/>
        </w:rPr>
        <w:t>市市场监督管理局书面告知复检申请人。复检结论为最终结论。</w:t>
      </w:r>
    </w:p>
    <w:p>
      <w:pPr>
        <w:snapToGrid w:val="0"/>
        <w:spacing w:beforeLines="0" w:afterLines="0" w:line="440" w:lineRule="exact"/>
        <w:rPr>
          <w:rFonts w:hint="eastAsia" w:ascii="宋体" w:hAnsi="宋体" w:eastAsia="宋体"/>
          <w:color w:val="000000"/>
          <w:sz w:val="21"/>
          <w:lang w:val="en-US" w:eastAsia="zh-CN"/>
        </w:rPr>
      </w:pPr>
      <w:r>
        <w:rPr>
          <w:rFonts w:hint="eastAsia" w:ascii="宋体" w:hAnsi="宋体" w:eastAsia="宋体"/>
          <w:color w:val="000000"/>
          <w:sz w:val="21"/>
          <w:lang w:val="en-US" w:eastAsia="zh-CN"/>
        </w:rPr>
        <w:t>4</w:t>
      </w:r>
      <w:r>
        <w:rPr>
          <w:rFonts w:hint="eastAsia" w:ascii="宋体" w:hAnsi="宋体" w:eastAsia="宋体"/>
          <w:color w:val="000000"/>
          <w:sz w:val="21"/>
        </w:rPr>
        <w:t>.2.7 复检费用由申请人向复检机构先行支付。复检结论与初检结论一致的，复检费用由申请人承担；与初检结论不一致的，复检费用由承担本次抽样检验的单位承担</w:t>
      </w:r>
      <w:r>
        <w:rPr>
          <w:rFonts w:hint="eastAsia" w:ascii="宋体" w:hAnsi="宋体" w:eastAsia="宋体"/>
          <w:color w:val="000000"/>
          <w:sz w:val="21"/>
          <w:lang w:eastAsia="zh-CN"/>
        </w:rPr>
        <w:t>。</w:t>
      </w:r>
    </w:p>
    <w:p>
      <w:pPr>
        <w:snapToGrid w:val="0"/>
        <w:spacing w:beforeLines="0" w:afterLines="0" w:line="440" w:lineRule="exact"/>
        <w:rPr>
          <w:rFonts w:hint="eastAsia" w:ascii="宋体" w:hAnsi="宋体" w:eastAsia="宋体"/>
          <w:color w:val="000000"/>
          <w:sz w:val="21"/>
        </w:rPr>
      </w:pPr>
      <w:r>
        <w:rPr>
          <w:rFonts w:hint="eastAsia" w:ascii="宋体" w:hAnsi="宋体" w:eastAsia="宋体"/>
          <w:color w:val="000000"/>
          <w:sz w:val="21"/>
          <w:lang w:val="en-US" w:eastAsia="zh-CN"/>
        </w:rPr>
        <w:t>4</w:t>
      </w:r>
      <w:r>
        <w:rPr>
          <w:rFonts w:hint="eastAsia" w:ascii="宋体" w:hAnsi="宋体" w:eastAsia="宋体"/>
          <w:color w:val="000000"/>
          <w:sz w:val="21"/>
        </w:rPr>
        <w:t>.2.</w:t>
      </w:r>
      <w:r>
        <w:rPr>
          <w:rFonts w:hint="eastAsia" w:ascii="宋体" w:hAnsi="宋体" w:eastAsia="宋体"/>
          <w:color w:val="000000"/>
          <w:sz w:val="21"/>
          <w:lang w:val="en-US" w:eastAsia="zh-CN"/>
        </w:rPr>
        <w:t>8</w:t>
      </w:r>
      <w:r>
        <w:rPr>
          <w:rFonts w:hint="eastAsia" w:ascii="宋体" w:hAnsi="宋体" w:eastAsia="宋体"/>
          <w:color w:val="000000"/>
          <w:sz w:val="21"/>
        </w:rPr>
        <w:t xml:space="preserve"> </w:t>
      </w:r>
      <w:bookmarkStart w:id="0" w:name="_Hlk70263795"/>
      <w:r>
        <w:rPr>
          <w:rFonts w:hint="eastAsia" w:ascii="宋体" w:hAnsi="宋体" w:eastAsia="宋体"/>
          <w:color w:val="000000"/>
          <w:sz w:val="21"/>
        </w:rPr>
        <w:t>燃放性能检验项目不进行复检</w:t>
      </w:r>
      <w:bookmarkEnd w:id="0"/>
      <w:r>
        <w:rPr>
          <w:rFonts w:hint="eastAsia" w:ascii="宋体" w:hAnsi="宋体" w:eastAsia="宋体"/>
          <w:color w:val="000000"/>
          <w:sz w:val="21"/>
        </w:rPr>
        <w:t>。</w:t>
      </w:r>
    </w:p>
    <w:p>
      <w:pPr>
        <w:spacing w:beforeLines="0" w:afterLines="0" w:line="440" w:lineRule="exact"/>
        <w:rPr>
          <w:rFonts w:hint="eastAsia" w:ascii="黑体" w:hAnsi="黑体" w:eastAsia="黑体"/>
          <w:sz w:val="21"/>
          <w:lang w:val="en-US" w:eastAsia="zh-CN"/>
        </w:rPr>
      </w:pPr>
      <w:r>
        <w:rPr>
          <w:rFonts w:hint="eastAsia" w:ascii="黑体" w:hAnsi="黑体" w:eastAsia="黑体"/>
          <w:sz w:val="21"/>
          <w:lang w:val="en-US" w:eastAsia="zh-CN"/>
        </w:rPr>
        <w:t xml:space="preserve">5 其他 </w:t>
      </w:r>
    </w:p>
    <w:p>
      <w:pPr>
        <w:snapToGrid w:val="0"/>
        <w:spacing w:beforeLines="0" w:afterLines="0" w:line="440" w:lineRule="exact"/>
        <w:rPr>
          <w:rFonts w:hint="eastAsia" w:ascii="宋体" w:hAnsi="宋体" w:eastAsia="宋体" w:cs="宋体"/>
          <w:sz w:val="21"/>
          <w:szCs w:val="21"/>
        </w:rPr>
      </w:pPr>
      <w:r>
        <w:rPr>
          <w:rFonts w:hint="eastAsia" w:ascii="宋体" w:hAnsi="宋体" w:eastAsia="宋体"/>
          <w:color w:val="000000"/>
          <w:sz w:val="21"/>
          <w:lang w:val="en-US" w:eastAsia="zh-CN"/>
        </w:rPr>
        <w:t>5</w:t>
      </w:r>
      <w:r>
        <w:rPr>
          <w:rFonts w:hint="eastAsia" w:ascii="宋体" w:hAnsi="宋体" w:eastAsia="宋体"/>
          <w:color w:val="000000"/>
          <w:sz w:val="21"/>
        </w:rPr>
        <w:t>.1 本细则由</w:t>
      </w:r>
      <w:r>
        <w:rPr>
          <w:rFonts w:hint="eastAsia" w:ascii="宋体" w:hAnsi="宋体" w:eastAsia="宋体"/>
          <w:color w:val="000000"/>
          <w:sz w:val="21"/>
          <w:lang w:eastAsia="zh-CN"/>
        </w:rPr>
        <w:t>赣州</w:t>
      </w:r>
      <w:r>
        <w:rPr>
          <w:rFonts w:hint="eastAsia" w:ascii="宋体" w:hAnsi="宋体" w:eastAsia="宋体"/>
          <w:color w:val="000000"/>
          <w:sz w:val="21"/>
        </w:rPr>
        <w:t>市市场监督管理局制定并负责解释。</w:t>
      </w:r>
    </w:p>
    <w:sectPr>
      <w:headerReference r:id="rId3" w:type="default"/>
      <w:footerReference r:id="rId4" w:type="default"/>
      <w:footerReference r:id="rId5"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86"/>
    <w:family w:val="auto"/>
    <w:pitch w:val="default"/>
    <w:sig w:usb0="00000000" w:usb1="00000000" w:usb2="00000009" w:usb3="00000000" w:csb0="400001FF" w:csb1="FFFF0000"/>
  </w:font>
  <w:font w:name="宋体">
    <w:panose1 w:val="02010600030101010101"/>
    <w:charset w:val="7A"/>
    <w:family w:val="auto"/>
    <w:pitch w:val="default"/>
    <w:sig w:usb0="00000003" w:usb1="080E0000" w:usb2="00000000" w:usb3="00000000" w:csb0="00040001" w:csb1="00000000"/>
  </w:font>
  <w:font w:name="Wingdings">
    <w:altName w:val="宋体-PUA"/>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宋体-PUA"/>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幼圆">
    <w:panose1 w:val="02010509060101010101"/>
    <w:charset w:val="86"/>
    <w:family w:val="swiss"/>
    <w:pitch w:val="default"/>
    <w:sig w:usb0="00000001" w:usb1="080E0000" w:usb2="00000000" w:usb3="00000000" w:csb0="00040000" w:csb1="00000000"/>
  </w:font>
  <w:font w:name="汉鼎简书宋二">
    <w:altName w:val="宋体"/>
    <w:panose1 w:val="00000000000000000000"/>
    <w:charset w:val="86"/>
    <w:family w:val="swiss"/>
    <w:pitch w:val="default"/>
    <w:sig w:usb0="00000000" w:usb1="00000000" w:usb2="00000010" w:usb3="00000000" w:csb0="00040000" w:csb1="00000000"/>
  </w:font>
  <w:font w:name="方正小标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0F3C52" w:usb2="00000016" w:usb3="00000000" w:csb0="0004001F" w:csb1="00000000"/>
  </w:font>
  <w:font w:name="宋体-PUA">
    <w:panose1 w:val="02010600030101010101"/>
    <w:charset w:val="86"/>
    <w:family w:val="auto"/>
    <w:pitch w:val="default"/>
    <w:sig w:usb0="00000000" w:usb1="10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Style w:val="11"/>
                            </w:rPr>
                          </w:pPr>
                          <w:r>
                            <w:fldChar w:fldCharType="begin"/>
                          </w:r>
                          <w:r>
                            <w:rPr>
                              <w:rStyle w:val="11"/>
                            </w:rPr>
                            <w:instrText xml:space="preserve">PAGE  </w:instrText>
                          </w:r>
                          <w:r>
                            <w:fldChar w:fldCharType="separate"/>
                          </w:r>
                          <w:r>
                            <w:rPr>
                              <w:rStyle w:val="11"/>
                            </w:rPr>
                            <w:t>7</w:t>
                          </w:r>
                          <w: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CgF26zFQIAABkEAAAOAAAAAAAAAAEAIAAAADUBAABkcnMvZTJvRG9jLnhtbFBLBQYAAAAABgAG&#10;AFkBAAC8BQAAAAA=&#10;">
              <v:fill on="f" focussize="0,0"/>
              <v:stroke on="f" weight="0.5pt"/>
              <v:imagedata o:title=""/>
              <o:lock v:ext="edit" aspectratio="f"/>
              <v:textbox inset="0mm,0mm,0mm,0mm" style="mso-fit-shape-to-text:t;">
                <w:txbxContent>
                  <w:p>
                    <w:pPr>
                      <w:pStyle w:val="6"/>
                      <w:rPr>
                        <w:rStyle w:val="11"/>
                      </w:rPr>
                    </w:pPr>
                    <w:r>
                      <w:fldChar w:fldCharType="begin"/>
                    </w:r>
                    <w:r>
                      <w:rPr>
                        <w:rStyle w:val="11"/>
                      </w:rPr>
                      <w:instrText xml:space="preserve">PAGE  </w:instrText>
                    </w:r>
                    <w:r>
                      <w:fldChar w:fldCharType="separate"/>
                    </w:r>
                    <w:r>
                      <w:rPr>
                        <w:rStyle w:val="11"/>
                      </w:rPr>
                      <w:t>7</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1"/>
      </w:rPr>
    </w:pPr>
    <w:r>
      <w:fldChar w:fldCharType="begin"/>
    </w:r>
    <w:r>
      <w:rPr>
        <w:rStyle w:val="11"/>
      </w:rPr>
      <w:instrText xml:space="preserve">PAGE  </w:instrText>
    </w:r>
    <w:r>
      <w:fldChar w:fldCharType="end"/>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QyZmVmNmUxZGUyMzc3ZjhlODU5MjM4M2Q2Y2I3YmQifQ=="/>
  </w:docVars>
  <w:rsids>
    <w:rsidRoot w:val="00172A27"/>
    <w:rsid w:val="000062EA"/>
    <w:rsid w:val="00021543"/>
    <w:rsid w:val="00053572"/>
    <w:rsid w:val="00062E0B"/>
    <w:rsid w:val="000743E1"/>
    <w:rsid w:val="00083796"/>
    <w:rsid w:val="00083C81"/>
    <w:rsid w:val="000906AC"/>
    <w:rsid w:val="000A3CA4"/>
    <w:rsid w:val="000C7DEE"/>
    <w:rsid w:val="000E0052"/>
    <w:rsid w:val="00144E39"/>
    <w:rsid w:val="00174FD5"/>
    <w:rsid w:val="00187CFC"/>
    <w:rsid w:val="00192763"/>
    <w:rsid w:val="001C1142"/>
    <w:rsid w:val="001C516A"/>
    <w:rsid w:val="001E2582"/>
    <w:rsid w:val="00245F7D"/>
    <w:rsid w:val="0028538E"/>
    <w:rsid w:val="0028646B"/>
    <w:rsid w:val="002968AA"/>
    <w:rsid w:val="002B1BE3"/>
    <w:rsid w:val="00312FC1"/>
    <w:rsid w:val="00330639"/>
    <w:rsid w:val="003957D3"/>
    <w:rsid w:val="00396FDD"/>
    <w:rsid w:val="003B1343"/>
    <w:rsid w:val="003B6A67"/>
    <w:rsid w:val="003D1D78"/>
    <w:rsid w:val="003E3C15"/>
    <w:rsid w:val="003E6D26"/>
    <w:rsid w:val="003E6E59"/>
    <w:rsid w:val="003F554E"/>
    <w:rsid w:val="004034DC"/>
    <w:rsid w:val="00431A62"/>
    <w:rsid w:val="00484944"/>
    <w:rsid w:val="0049106A"/>
    <w:rsid w:val="004A32D7"/>
    <w:rsid w:val="004A6461"/>
    <w:rsid w:val="004A6DFE"/>
    <w:rsid w:val="004B772A"/>
    <w:rsid w:val="004C6FA9"/>
    <w:rsid w:val="004D3964"/>
    <w:rsid w:val="004F52A3"/>
    <w:rsid w:val="004F6F07"/>
    <w:rsid w:val="00534805"/>
    <w:rsid w:val="00540F6F"/>
    <w:rsid w:val="005520BC"/>
    <w:rsid w:val="005B2323"/>
    <w:rsid w:val="005E12F9"/>
    <w:rsid w:val="005E4EA7"/>
    <w:rsid w:val="006052B1"/>
    <w:rsid w:val="00607A4D"/>
    <w:rsid w:val="00607B11"/>
    <w:rsid w:val="0061090E"/>
    <w:rsid w:val="00612980"/>
    <w:rsid w:val="00623D69"/>
    <w:rsid w:val="00650B24"/>
    <w:rsid w:val="00655CB7"/>
    <w:rsid w:val="00656311"/>
    <w:rsid w:val="0068142F"/>
    <w:rsid w:val="00682BF1"/>
    <w:rsid w:val="0068631C"/>
    <w:rsid w:val="006A7594"/>
    <w:rsid w:val="006B13A6"/>
    <w:rsid w:val="006B5503"/>
    <w:rsid w:val="006B6E74"/>
    <w:rsid w:val="006C2626"/>
    <w:rsid w:val="006D1664"/>
    <w:rsid w:val="006D2275"/>
    <w:rsid w:val="006F51D1"/>
    <w:rsid w:val="00744A8E"/>
    <w:rsid w:val="00746C43"/>
    <w:rsid w:val="00750994"/>
    <w:rsid w:val="007660A7"/>
    <w:rsid w:val="00771DAE"/>
    <w:rsid w:val="00785B48"/>
    <w:rsid w:val="007E0441"/>
    <w:rsid w:val="007E1AE0"/>
    <w:rsid w:val="007E2F2D"/>
    <w:rsid w:val="00802B25"/>
    <w:rsid w:val="00850096"/>
    <w:rsid w:val="008715E3"/>
    <w:rsid w:val="0088484A"/>
    <w:rsid w:val="008A58EA"/>
    <w:rsid w:val="008B2190"/>
    <w:rsid w:val="008B4497"/>
    <w:rsid w:val="008B562B"/>
    <w:rsid w:val="008E7AD6"/>
    <w:rsid w:val="008F67F2"/>
    <w:rsid w:val="009055BF"/>
    <w:rsid w:val="00905752"/>
    <w:rsid w:val="009073DA"/>
    <w:rsid w:val="009137B8"/>
    <w:rsid w:val="00931036"/>
    <w:rsid w:val="00943B80"/>
    <w:rsid w:val="0094615D"/>
    <w:rsid w:val="009504A6"/>
    <w:rsid w:val="00972071"/>
    <w:rsid w:val="009A14C8"/>
    <w:rsid w:val="009C563D"/>
    <w:rsid w:val="009D3E25"/>
    <w:rsid w:val="00A07EFD"/>
    <w:rsid w:val="00A41315"/>
    <w:rsid w:val="00A56B62"/>
    <w:rsid w:val="00A85176"/>
    <w:rsid w:val="00A92D15"/>
    <w:rsid w:val="00A953EB"/>
    <w:rsid w:val="00AA13DC"/>
    <w:rsid w:val="00AA5D56"/>
    <w:rsid w:val="00AC2DF6"/>
    <w:rsid w:val="00B15A72"/>
    <w:rsid w:val="00B233DA"/>
    <w:rsid w:val="00B2458C"/>
    <w:rsid w:val="00B24669"/>
    <w:rsid w:val="00B25B34"/>
    <w:rsid w:val="00B4442D"/>
    <w:rsid w:val="00B5333B"/>
    <w:rsid w:val="00BB5F2C"/>
    <w:rsid w:val="00BC59FD"/>
    <w:rsid w:val="00BD7F1B"/>
    <w:rsid w:val="00BF3EFC"/>
    <w:rsid w:val="00BF5A95"/>
    <w:rsid w:val="00C176C3"/>
    <w:rsid w:val="00C20350"/>
    <w:rsid w:val="00C3699E"/>
    <w:rsid w:val="00C50B8E"/>
    <w:rsid w:val="00C61ECE"/>
    <w:rsid w:val="00C65EE7"/>
    <w:rsid w:val="00C84B17"/>
    <w:rsid w:val="00C90478"/>
    <w:rsid w:val="00C97C56"/>
    <w:rsid w:val="00CB6511"/>
    <w:rsid w:val="00CC70D7"/>
    <w:rsid w:val="00CD674A"/>
    <w:rsid w:val="00CE23D6"/>
    <w:rsid w:val="00D64436"/>
    <w:rsid w:val="00D70706"/>
    <w:rsid w:val="00D740C5"/>
    <w:rsid w:val="00D963F9"/>
    <w:rsid w:val="00DA3E17"/>
    <w:rsid w:val="00DB5CE9"/>
    <w:rsid w:val="00DB76A0"/>
    <w:rsid w:val="00DD19A6"/>
    <w:rsid w:val="00DD702C"/>
    <w:rsid w:val="00E12139"/>
    <w:rsid w:val="00E13E0D"/>
    <w:rsid w:val="00E53A35"/>
    <w:rsid w:val="00E67220"/>
    <w:rsid w:val="00E72BEF"/>
    <w:rsid w:val="00E810EA"/>
    <w:rsid w:val="00E82EF3"/>
    <w:rsid w:val="00EA4853"/>
    <w:rsid w:val="00EA7430"/>
    <w:rsid w:val="00EC7A22"/>
    <w:rsid w:val="00ED5811"/>
    <w:rsid w:val="00EE07E3"/>
    <w:rsid w:val="00EE46D1"/>
    <w:rsid w:val="00EF028A"/>
    <w:rsid w:val="00EF3FD4"/>
    <w:rsid w:val="00F04BDD"/>
    <w:rsid w:val="00F06369"/>
    <w:rsid w:val="00F21A50"/>
    <w:rsid w:val="00F31222"/>
    <w:rsid w:val="00F32073"/>
    <w:rsid w:val="00F35E7A"/>
    <w:rsid w:val="00F50ED5"/>
    <w:rsid w:val="00F5556E"/>
    <w:rsid w:val="00F865FF"/>
    <w:rsid w:val="00F9051D"/>
    <w:rsid w:val="00FF5BCB"/>
    <w:rsid w:val="01214BEB"/>
    <w:rsid w:val="07B24A73"/>
    <w:rsid w:val="0F2C08D3"/>
    <w:rsid w:val="175C49A5"/>
    <w:rsid w:val="18556426"/>
    <w:rsid w:val="185D049A"/>
    <w:rsid w:val="1BB43086"/>
    <w:rsid w:val="23840ECE"/>
    <w:rsid w:val="29407A68"/>
    <w:rsid w:val="31040918"/>
    <w:rsid w:val="33EC4DB1"/>
    <w:rsid w:val="3C9A770A"/>
    <w:rsid w:val="3F5E0F5E"/>
    <w:rsid w:val="47440F1A"/>
    <w:rsid w:val="51F24C5E"/>
    <w:rsid w:val="533C5297"/>
    <w:rsid w:val="579C1D99"/>
    <w:rsid w:val="6E1F3ADC"/>
    <w:rsid w:val="72192610"/>
    <w:rsid w:val="79BE50AB"/>
    <w:rsid w:val="7CBD30C6"/>
    <w:rsid w:val="7E5C334E"/>
    <w:rsid w:val="7F8C48B8"/>
    <w:rsid w:val="EA7B195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unhideWhenUsed/>
    <w:qFormat/>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2">
    <w:name w:val="Document Map"/>
    <w:basedOn w:val="1"/>
    <w:unhideWhenUsed/>
    <w:qFormat/>
    <w:uiPriority w:val="99"/>
    <w:rPr>
      <w:rFonts w:ascii="宋体" w:hAnsi="宋体" w:cs="宋体"/>
      <w:sz w:val="18"/>
      <w:szCs w:val="18"/>
    </w:rPr>
  </w:style>
  <w:style w:type="paragraph" w:styleId="3">
    <w:name w:val="annotation text"/>
    <w:basedOn w:val="1"/>
    <w:link w:val="12"/>
    <w:unhideWhenUsed/>
    <w:qFormat/>
    <w:uiPriority w:val="99"/>
    <w:pPr>
      <w:jc w:val="left"/>
    </w:pPr>
  </w:style>
  <w:style w:type="paragraph" w:styleId="4">
    <w:name w:val="Date"/>
    <w:basedOn w:val="1"/>
    <w:next w:val="1"/>
    <w:link w:val="20"/>
    <w:qFormat/>
    <w:uiPriority w:val="0"/>
    <w:rPr>
      <w:rFonts w:ascii="幼圆" w:eastAsia="幼圆"/>
      <w:sz w:val="24"/>
      <w:szCs w:val="20"/>
    </w:rPr>
  </w:style>
  <w:style w:type="paragraph" w:styleId="5">
    <w:name w:val="Balloon Text"/>
    <w:basedOn w:val="1"/>
    <w:link w:val="25"/>
    <w:unhideWhenUsed/>
    <w:qFormat/>
    <w:uiPriority w:val="99"/>
    <w:rPr>
      <w:sz w:val="18"/>
      <w:szCs w:val="18"/>
    </w:rPr>
  </w:style>
  <w:style w:type="paragraph" w:styleId="6">
    <w:name w:val="footer"/>
    <w:basedOn w:val="1"/>
    <w:link w:val="14"/>
    <w:unhideWhenUsed/>
    <w:qFormat/>
    <w:uiPriority w:val="0"/>
    <w:pPr>
      <w:tabs>
        <w:tab w:val="center" w:pos="4153"/>
        <w:tab w:val="right" w:pos="8306"/>
      </w:tabs>
      <w:snapToGrid w:val="0"/>
      <w:jc w:val="left"/>
    </w:pPr>
    <w:rPr>
      <w:sz w:val="18"/>
      <w:szCs w:val="18"/>
    </w:rPr>
  </w:style>
  <w:style w:type="paragraph" w:styleId="7">
    <w:name w:val="header"/>
    <w:basedOn w:val="1"/>
    <w:link w:val="13"/>
    <w:unhideWhenUsed/>
    <w:qFormat/>
    <w:uiPriority w:val="0"/>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character" w:customStyle="1" w:styleId="12">
    <w:name w:val="批注文字 字符"/>
    <w:basedOn w:val="10"/>
    <w:link w:val="3"/>
    <w:qFormat/>
    <w:uiPriority w:val="99"/>
    <w:rPr>
      <w:kern w:val="2"/>
      <w:sz w:val="21"/>
      <w:szCs w:val="22"/>
    </w:rPr>
  </w:style>
  <w:style w:type="character" w:customStyle="1" w:styleId="13">
    <w:name w:val="页眉 字符1"/>
    <w:link w:val="7"/>
    <w:qFormat/>
    <w:uiPriority w:val="99"/>
    <w:rPr>
      <w:kern w:val="2"/>
      <w:sz w:val="18"/>
      <w:szCs w:val="18"/>
    </w:rPr>
  </w:style>
  <w:style w:type="character" w:customStyle="1" w:styleId="14">
    <w:name w:val="页脚 字符1"/>
    <w:link w:val="6"/>
    <w:qFormat/>
    <w:uiPriority w:val="99"/>
    <w:rPr>
      <w:kern w:val="2"/>
      <w:sz w:val="18"/>
      <w:szCs w:val="18"/>
    </w:rPr>
  </w:style>
  <w:style w:type="paragraph" w:customStyle="1" w:styleId="15">
    <w:name w:val="列出段落1"/>
    <w:basedOn w:val="1"/>
    <w:qFormat/>
    <w:uiPriority w:val="34"/>
    <w:pPr>
      <w:ind w:firstLine="420" w:firstLineChars="200"/>
    </w:pPr>
  </w:style>
  <w:style w:type="character" w:customStyle="1" w:styleId="16">
    <w:name w:val="页眉 字符"/>
    <w:qFormat/>
    <w:uiPriority w:val="99"/>
    <w:rPr>
      <w:sz w:val="18"/>
      <w:szCs w:val="18"/>
    </w:rPr>
  </w:style>
  <w:style w:type="character" w:customStyle="1" w:styleId="17">
    <w:name w:val="页脚 字符"/>
    <w:qFormat/>
    <w:uiPriority w:val="99"/>
    <w:rPr>
      <w:sz w:val="18"/>
      <w:szCs w:val="18"/>
    </w:rPr>
  </w:style>
  <w:style w:type="paragraph" w:customStyle="1" w:styleId="18">
    <w:name w:val="列出段落2"/>
    <w:basedOn w:val="1"/>
    <w:qFormat/>
    <w:uiPriority w:val="34"/>
    <w:pPr>
      <w:ind w:firstLine="420" w:firstLineChars="200"/>
    </w:pPr>
  </w:style>
  <w:style w:type="character" w:customStyle="1" w:styleId="19">
    <w:name w:val="apple-converted-space"/>
    <w:basedOn w:val="10"/>
    <w:qFormat/>
    <w:uiPriority w:val="0"/>
  </w:style>
  <w:style w:type="character" w:customStyle="1" w:styleId="20">
    <w:name w:val="日期 字符"/>
    <w:basedOn w:val="10"/>
    <w:link w:val="4"/>
    <w:qFormat/>
    <w:uiPriority w:val="0"/>
    <w:rPr>
      <w:rFonts w:ascii="幼圆" w:hAnsi="Times New Roman" w:eastAsia="幼圆"/>
      <w:kern w:val="2"/>
      <w:sz w:val="24"/>
    </w:rPr>
  </w:style>
  <w:style w:type="paragraph" w:customStyle="1" w:styleId="21">
    <w:name w:val="style2"/>
    <w:basedOn w:val="1"/>
    <w:qFormat/>
    <w:uiPriority w:val="0"/>
    <w:pPr>
      <w:widowControl/>
      <w:spacing w:before="100" w:beforeAutospacing="1" w:after="100" w:afterAutospacing="1"/>
      <w:jc w:val="left"/>
    </w:pPr>
    <w:rPr>
      <w:rFonts w:ascii="宋体" w:hAnsi="宋体" w:cs="宋体"/>
      <w:kern w:val="0"/>
      <w:sz w:val="24"/>
    </w:rPr>
  </w:style>
  <w:style w:type="character" w:customStyle="1" w:styleId="22">
    <w:name w:val="肥料正文 Char Char"/>
    <w:basedOn w:val="10"/>
    <w:link w:val="23"/>
    <w:qFormat/>
    <w:uiPriority w:val="0"/>
    <w:rPr>
      <w:rFonts w:eastAsia="汉鼎简书宋二"/>
      <w:snapToGrid w:val="0"/>
      <w:spacing w:val="2"/>
      <w:sz w:val="22"/>
      <w:szCs w:val="24"/>
    </w:rPr>
  </w:style>
  <w:style w:type="paragraph" w:customStyle="1" w:styleId="23">
    <w:name w:val="肥料正文"/>
    <w:basedOn w:val="1"/>
    <w:link w:val="22"/>
    <w:qFormat/>
    <w:uiPriority w:val="0"/>
    <w:pPr>
      <w:adjustRightInd w:val="0"/>
      <w:snapToGrid w:val="0"/>
      <w:spacing w:line="317" w:lineRule="auto"/>
      <w:ind w:firstLine="200" w:firstLineChars="200"/>
    </w:pPr>
    <w:rPr>
      <w:rFonts w:ascii="Calibri" w:hAnsi="Calibri" w:eastAsia="汉鼎简书宋二"/>
      <w:snapToGrid w:val="0"/>
      <w:spacing w:val="2"/>
      <w:kern w:val="0"/>
      <w:sz w:val="22"/>
    </w:rPr>
  </w:style>
  <w:style w:type="paragraph" w:customStyle="1" w:styleId="24">
    <w:name w:val="列表段落1"/>
    <w:basedOn w:val="1"/>
    <w:qFormat/>
    <w:uiPriority w:val="99"/>
    <w:pPr>
      <w:ind w:firstLine="420" w:firstLineChars="200"/>
    </w:pPr>
  </w:style>
  <w:style w:type="character" w:customStyle="1" w:styleId="25">
    <w:name w:val="批注框文本 字符"/>
    <w:basedOn w:val="10"/>
    <w:link w:val="5"/>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Pages>
  <Words>2010</Words>
  <Characters>2692</Characters>
  <Lines>32</Lines>
  <Paragraphs>9</Paragraphs>
  <TotalTime>1</TotalTime>
  <ScaleCrop>false</ScaleCrop>
  <LinksUpToDate>false</LinksUpToDate>
  <CharactersWithSpaces>2823</CharactersWithSpaces>
  <Application>WPS Office_11.8.2.10458_F1E327BC-269C-435d-A152-05C5408002CA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2023-08-16T16:47:00Z</dcterms:created>
  <dc:creator>微软用户</dc:creator>
  <cp:lastModifiedBy>user</cp:lastModifiedBy>
  <cp:lastPrinted>2020-12-10T16:46:00Z</cp:lastPrinted>
  <dcterms:modified xsi:type="dcterms:W3CDTF">2024-08-30T16:15:56Z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2052-11.8.2.10458</vt:lpwstr>
  </property>
  <property fmtid="{D5CDD505-2E9C-101B-9397-08002B2CF9AE}" pid="3" name="ICV">
    <vt:lpwstr>AFE5636C9FB741C6821755F60A44526D_12</vt:lpwstr>
  </property>
</Properties>
</file>