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pacing w:val="0"/>
          <w:w w:val="100"/>
          <w:sz w:val="44"/>
          <w:szCs w:val="44"/>
        </w:rPr>
      </w:pPr>
      <w:r>
        <w:rPr>
          <w:rFonts w:hint="eastAsia" w:ascii="黑体" w:hAnsi="宋体" w:eastAsia="黑体"/>
          <w:color w:val="000000"/>
          <w:spacing w:val="0"/>
          <w:w w:val="100"/>
          <w:sz w:val="52"/>
          <w:szCs w:val="52"/>
          <w:lang w:eastAsia="zh-CN"/>
        </w:rPr>
        <w:t>赣州</w:t>
      </w:r>
      <w:r>
        <w:rPr>
          <w:rFonts w:hint="eastAsia" w:ascii="黑体" w:hAnsi="宋体" w:eastAsia="黑体"/>
          <w:color w:val="000000"/>
          <w:spacing w:val="0"/>
          <w:w w:val="100"/>
          <w:sz w:val="52"/>
          <w:szCs w:val="52"/>
        </w:rPr>
        <w:t>市产品质量监督抽查实施细则</w:t>
      </w:r>
    </w:p>
    <w:p>
      <w:pPr>
        <w:wordWrap w:val="0"/>
        <w:spacing w:before="240"/>
        <w:ind w:right="420"/>
        <w:jc w:val="right"/>
        <w:rPr>
          <w:rFonts w:hint="eastAsia" w:ascii="黑体" w:hAnsi="宋体" w:eastAsia="黑体"/>
          <w:color w:val="000000"/>
          <w:spacing w:val="0"/>
          <w:w w:val="100"/>
          <w:sz w:val="28"/>
          <w:szCs w:val="28"/>
          <w:lang w:val="en-US" w:eastAsia="zh-CN"/>
        </w:rPr>
      </w:pPr>
      <w:r>
        <w:rPr>
          <w:rFonts w:ascii="宋体" w:hAnsi="宋体" w:eastAsia="宋体"/>
          <w:color w:val="000000"/>
          <w:spacing w:val="0"/>
          <w:w w:val="100"/>
          <w:szCs w:val="21"/>
        </w:rPr>
        <mc:AlternateContent>
          <mc:Choice Requires="wps">
            <w:drawing>
              <wp:anchor distT="0" distB="0" distL="114300" distR="114300" simplePos="0" relativeHeight="251669504"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margin-left:-9.7pt;margin-top:39.5pt;height:0.05pt;width:414pt;z-index:251669504;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G0zibNcAAAAJAQAADwAAAAAAAAABACAAAAA4AAAAZHJzL2Rvd25yZXYueG1sUEsB&#10;AhQAFAAAAAgAh07iQGj+QfTgAQAAqQMAAA4AAAAAAAAAAQAgAAAAPAEAAGRycy9lMm9Eb2MueG1s&#10;UEsFBgAAAAAGAAYAWQEAAI4FAAAAAA==&#10;">
                <v:fill on="f" focussize="0,0"/>
                <v:stroke color="#000000" joinstyle="round"/>
                <v:imagedata o:title=""/>
                <o:lock v:ext="edit" aspectratio="f"/>
              </v:line>
            </w:pict>
          </mc:Fallback>
        </mc:AlternateContent>
      </w:r>
      <w:r>
        <w:rPr>
          <w:rFonts w:hint="eastAsia" w:ascii="黑体" w:hAnsi="宋体" w:eastAsia="黑体"/>
          <w:color w:val="000000"/>
          <w:spacing w:val="0"/>
          <w:w w:val="100"/>
          <w:sz w:val="28"/>
          <w:szCs w:val="28"/>
          <w:lang w:val="en-US" w:eastAsia="zh-CN"/>
        </w:rPr>
        <w:t xml:space="preserve"> GZ</w:t>
      </w:r>
      <w:r>
        <w:rPr>
          <w:rFonts w:hint="eastAsia" w:ascii="黑体" w:hAnsi="宋体" w:eastAsia="黑体"/>
          <w:color w:val="000000"/>
          <w:spacing w:val="0"/>
          <w:w w:val="100"/>
          <w:sz w:val="28"/>
          <w:szCs w:val="28"/>
        </w:rPr>
        <w:t xml:space="preserve">CCXZ </w:t>
      </w:r>
      <w:r>
        <w:rPr>
          <w:rFonts w:hint="eastAsia" w:ascii="黑体" w:hAnsi="宋体" w:eastAsia="黑体"/>
          <w:color w:val="000000"/>
          <w:spacing w:val="0"/>
          <w:w w:val="100"/>
          <w:sz w:val="28"/>
          <w:szCs w:val="28"/>
          <w:lang w:val="en-US" w:eastAsia="zh-CN"/>
        </w:rPr>
        <w:t>34</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p>
    <w:p>
      <w:pPr>
        <w:jc w:val="center"/>
        <w:rPr>
          <w:rFonts w:ascii="宋体" w:hAnsi="宋体" w:eastAsia="宋体"/>
          <w:color w:val="000000"/>
          <w:spacing w:val="0"/>
          <w:w w:val="100"/>
          <w:sz w:val="44"/>
          <w:szCs w:val="44"/>
          <w:highlight w:val="yellow"/>
        </w:rPr>
      </w:pPr>
    </w:p>
    <w:p>
      <w:pPr>
        <w:jc w:val="center"/>
        <w:rPr>
          <w:rFonts w:hint="eastAsia" w:eastAsia="宋体"/>
          <w:color w:val="000000"/>
          <w:spacing w:val="0"/>
          <w:w w:val="100"/>
          <w:sz w:val="44"/>
          <w:szCs w:val="44"/>
        </w:rPr>
      </w:pPr>
    </w:p>
    <w:p>
      <w:pPr>
        <w:jc w:val="center"/>
        <w:rPr>
          <w:rFonts w:hint="eastAsia" w:eastAsia="宋体"/>
          <w:color w:val="000000"/>
          <w:spacing w:val="0"/>
          <w:w w:val="100"/>
          <w:sz w:val="44"/>
          <w:szCs w:val="44"/>
        </w:rPr>
      </w:pPr>
    </w:p>
    <w:p>
      <w:pPr>
        <w:pStyle w:val="2"/>
        <w:rPr>
          <w:rFonts w:hint="eastAsia"/>
          <w:spacing w:val="0"/>
          <w:w w:val="100"/>
        </w:rPr>
      </w:pPr>
    </w:p>
    <w:p>
      <w:pPr>
        <w:jc w:val="center"/>
        <w:rPr>
          <w:rFonts w:hint="eastAsia" w:eastAsia="宋体"/>
          <w:color w:val="000000"/>
          <w:spacing w:val="0"/>
          <w:w w:val="100"/>
          <w:sz w:val="44"/>
          <w:szCs w:val="44"/>
        </w:rPr>
      </w:pPr>
    </w:p>
    <w:p>
      <w:pPr>
        <w:jc w:val="center"/>
        <w:rPr>
          <w:rFonts w:hint="eastAsia" w:eastAsia="宋体"/>
          <w:color w:val="000000"/>
          <w:spacing w:val="0"/>
          <w:w w:val="100"/>
          <w:sz w:val="44"/>
          <w:szCs w:val="44"/>
        </w:rPr>
      </w:pPr>
    </w:p>
    <w:p>
      <w:pPr>
        <w:jc w:val="center"/>
        <w:rPr>
          <w:rFonts w:hint="eastAsia" w:ascii="黑体" w:hAnsi="宋体" w:eastAsia="黑体"/>
          <w:color w:val="000000"/>
          <w:spacing w:val="0"/>
          <w:w w:val="100"/>
          <w:sz w:val="52"/>
          <w:szCs w:val="52"/>
          <w:lang w:eastAsia="zh-CN"/>
        </w:rPr>
      </w:pPr>
    </w:p>
    <w:p>
      <w:pPr>
        <w:jc w:val="center"/>
        <w:rPr>
          <w:rFonts w:hint="eastAsia" w:eastAsia="宋体"/>
          <w:color w:val="000000"/>
          <w:spacing w:val="0"/>
          <w:w w:val="100"/>
          <w:sz w:val="44"/>
          <w:szCs w:val="44"/>
          <w:lang w:val="en-US" w:eastAsia="zh-CN"/>
        </w:rPr>
      </w:pPr>
      <w:r>
        <w:rPr>
          <w:rFonts w:hint="eastAsia" w:ascii="黑体" w:hAnsi="黑体" w:eastAsia="黑体" w:cs="黑体"/>
          <w:color w:val="000000"/>
          <w:spacing w:val="0"/>
          <w:w w:val="100"/>
          <w:sz w:val="52"/>
          <w:szCs w:val="52"/>
          <w:lang w:val="en-US" w:eastAsia="zh-CN"/>
        </w:rPr>
        <w:t>车用尿素</w:t>
      </w:r>
    </w:p>
    <w:p>
      <w:pPr>
        <w:pStyle w:val="2"/>
        <w:rPr>
          <w:color w:val="000000"/>
          <w:spacing w:val="0"/>
          <w:w w:val="100"/>
          <w:sz w:val="44"/>
          <w:szCs w:val="44"/>
        </w:rPr>
      </w:pPr>
    </w:p>
    <w:p>
      <w:pPr>
        <w:pStyle w:val="2"/>
        <w:rPr>
          <w:color w:val="000000"/>
          <w:spacing w:val="0"/>
          <w:w w:val="100"/>
          <w:sz w:val="44"/>
          <w:szCs w:val="44"/>
        </w:rPr>
      </w:pPr>
    </w:p>
    <w:p>
      <w:pPr>
        <w:pStyle w:val="2"/>
        <w:rPr>
          <w:color w:val="000000"/>
          <w:spacing w:val="0"/>
          <w:w w:val="100"/>
          <w:sz w:val="44"/>
          <w:szCs w:val="44"/>
        </w:rPr>
      </w:pPr>
    </w:p>
    <w:p>
      <w:pPr>
        <w:jc w:val="center"/>
        <w:rPr>
          <w:rFonts w:eastAsia="宋体"/>
          <w:color w:val="000000"/>
          <w:spacing w:val="0"/>
          <w:w w:val="100"/>
          <w:sz w:val="44"/>
          <w:szCs w:val="44"/>
        </w:rPr>
      </w:pPr>
    </w:p>
    <w:p>
      <w:pPr>
        <w:pStyle w:val="2"/>
      </w:pPr>
    </w:p>
    <w:p>
      <w:pPr>
        <w:pStyle w:val="2"/>
      </w:pPr>
    </w:p>
    <w:p>
      <w:pPr>
        <w:jc w:val="both"/>
        <w:rPr>
          <w:rFonts w:hint="eastAsia" w:eastAsia="宋体"/>
          <w:color w:val="000000"/>
          <w:spacing w:val="0"/>
          <w:w w:val="100"/>
          <w:sz w:val="44"/>
          <w:szCs w:val="44"/>
        </w:rPr>
      </w:pPr>
    </w:p>
    <w:p>
      <w:pPr>
        <w:jc w:val="both"/>
        <w:rPr>
          <w:rFonts w:hint="eastAsia" w:eastAsia="宋体"/>
          <w:color w:val="000000"/>
          <w:spacing w:val="0"/>
          <w:w w:val="100"/>
          <w:sz w:val="44"/>
          <w:szCs w:val="44"/>
        </w:rPr>
      </w:pPr>
    </w:p>
    <w:p>
      <w:pPr>
        <w:pStyle w:val="2"/>
        <w:rPr>
          <w:rFonts w:hint="eastAsia"/>
          <w:spacing w:val="0"/>
          <w:w w:val="100"/>
        </w:rPr>
      </w:pPr>
    </w:p>
    <w:p>
      <w:pPr>
        <w:ind w:firstLine="140" w:firstLineChars="50"/>
        <w:rPr>
          <w:rFonts w:hint="eastAsia" w:ascii="黑体" w:hAnsi="宋体" w:eastAsia="黑体"/>
          <w:color w:val="000000"/>
          <w:spacing w:val="0"/>
          <w:w w:val="1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rFonts w:eastAsia="宋体"/>
          <w:spacing w:val="0"/>
          <w:w w:val="100"/>
          <w:sz w:val="28"/>
        </w:rPr>
        <mc:AlternateContent>
          <mc:Choice Requires="wps">
            <w:drawing>
              <wp:anchor distT="0" distB="0" distL="114300" distR="114300" simplePos="0" relativeHeight="251670528"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flip:y;margin-left:10.4pt;margin-top:29.05pt;height:0.75pt;width:414.15pt;z-index:251670528;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BhLENT1gAAAAgBAAAPAAAAAAAAAAEAIAAAADgAAABkcnMvZG93bnJldi54&#10;bWxQSwECFAAUAAAACACHTuJAxt9K9OYBAAC3AwAADgAAAAAAAAABACAAAAA7AQAAZHJzL2Uyb0Rv&#10;Yy54bWxQSwUGAAAAAAYABgBZAQAAkwUAAAAA&#10;">
                <v:fill on="f" focussize="0,0"/>
                <v:stroke color="#000000" joinstyle="round"/>
                <v:imagedata o:title=""/>
                <o:lock v:ext="edit" aspectratio="f"/>
              </v:line>
            </w:pict>
          </mc:Fallback>
        </mc:AlternateContent>
      </w:r>
    </w:p>
    <w:p>
      <w:pPr>
        <w:ind w:firstLine="140" w:firstLineChars="50"/>
        <w:rPr>
          <w:rFonts w:hint="eastAsia" w:ascii="黑体" w:hAnsi="宋体" w:eastAsia="黑体"/>
          <w:color w:val="000000"/>
          <w:spacing w:val="0"/>
          <w:w w:val="100"/>
          <w:sz w:val="28"/>
          <w:szCs w:val="28"/>
        </w:rPr>
      </w:pPr>
      <w:r>
        <w:rPr>
          <w:rFonts w:hint="eastAsia" w:ascii="黑体" w:hAnsi="宋体" w:eastAsia="黑体"/>
          <w:color w:val="000000"/>
          <w:spacing w:val="0"/>
          <w:w w:val="100"/>
          <w:sz w:val="28"/>
          <w:szCs w:val="28"/>
        </w:rPr>
        <w:t xml:space="preserve">           </w:t>
      </w:r>
    </w:p>
    <w:p>
      <w:pPr>
        <w:jc w:val="center"/>
        <w:rPr>
          <w:rFonts w:hint="eastAsia" w:ascii="黑体" w:hAnsi="黑体" w:eastAsia="黑体" w:cs="黑体"/>
          <w:color w:val="000000"/>
          <w:spacing w:val="0"/>
          <w:w w:val="100"/>
          <w:sz w:val="52"/>
          <w:szCs w:val="52"/>
          <w:lang w:val="en-US" w:eastAsia="zh-CN"/>
        </w:rPr>
      </w:pPr>
      <w:r>
        <w:rPr>
          <w:rFonts w:hint="eastAsia" w:ascii="黑体" w:hAnsi="黑体" w:eastAsia="黑体" w:cs="黑体"/>
          <w:color w:val="000000"/>
          <w:spacing w:val="0"/>
          <w:w w:val="100"/>
          <w:sz w:val="52"/>
          <w:szCs w:val="52"/>
          <w:lang w:val="en-US" w:eastAsia="zh-CN"/>
        </w:rPr>
        <w:t>赣州市市场监督管理局</w:t>
      </w:r>
    </w:p>
    <w:p>
      <w:pPr>
        <w:adjustRightInd w:val="0"/>
        <w:snapToGrid w:val="0"/>
        <w:spacing w:line="360" w:lineRule="auto"/>
        <w:jc w:val="center"/>
        <w:rPr>
          <w:rFonts w:hint="eastAsia" w:ascii="Times New Roman" w:hAnsi="Times New Roman" w:eastAsia="黑体" w:cs="Times New Roman"/>
          <w:b/>
          <w:bCs/>
          <w:sz w:val="48"/>
          <w:szCs w:val="48"/>
          <w:lang w:val="en-US" w:eastAsia="zh-CN"/>
        </w:rPr>
        <w:sectPr>
          <w:footerReference r:id="rId3" w:type="default"/>
          <w:footerReference r:id="rId4" w:type="even"/>
          <w:pgSz w:w="11906" w:h="16838"/>
          <w:pgMar w:top="1440" w:right="1803" w:bottom="1440" w:left="1803" w:header="851" w:footer="992" w:gutter="0"/>
          <w:pgNumType w:start="1"/>
          <w:cols w:space="720" w:num="1"/>
          <w:docGrid w:type="lines" w:linePitch="312" w:charSpace="0"/>
        </w:sectPr>
      </w:pPr>
    </w:p>
    <w:p>
      <w:pPr>
        <w:adjustRightInd w:val="0"/>
        <w:snapToGrid w:val="0"/>
        <w:spacing w:line="360" w:lineRule="auto"/>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车用尿素产品质量监督抽查实施细则（2024）</w:t>
      </w:r>
    </w:p>
    <w:p>
      <w:pPr>
        <w:keepNext w:val="0"/>
        <w:keepLines w:val="0"/>
        <w:pageBreakBefore w:val="0"/>
        <w:widowControl w:val="0"/>
        <w:kinsoku/>
        <w:wordWrap/>
        <w:overflowPunct/>
        <w:topLinePunct w:val="0"/>
        <w:autoSpaceDE/>
        <w:autoSpaceDN/>
        <w:bidi w:val="0"/>
        <w:adjustRightInd w:val="0"/>
        <w:spacing w:line="360" w:lineRule="auto"/>
        <w:ind w:firstLine="640" w:firstLineChars="200"/>
        <w:jc w:val="both"/>
        <w:textAlignment w:val="auto"/>
        <w:rPr>
          <w:rFonts w:hint="eastAsia" w:ascii="仿宋" w:hAnsi="仿宋" w:eastAsia="仿宋" w:cs="仿宋"/>
          <w:b/>
          <w:bCs/>
          <w:sz w:val="32"/>
          <w:szCs w:val="32"/>
        </w:rPr>
      </w:pPr>
    </w:p>
    <w:p>
      <w:pPr>
        <w:snapToGrid w:val="0"/>
        <w:spacing w:beforeLines="0" w:afterLines="0" w:line="440" w:lineRule="exact"/>
        <w:rPr>
          <w:rFonts w:hint="eastAsia" w:ascii="黑体" w:hAnsi="黑体" w:eastAsia="黑体"/>
          <w:sz w:val="21"/>
        </w:rPr>
      </w:pPr>
      <w:r>
        <w:rPr>
          <w:rFonts w:hint="eastAsia" w:ascii="黑体" w:hAnsi="黑体" w:eastAsia="黑体"/>
          <w:sz w:val="21"/>
          <w:lang w:val="en-US" w:eastAsia="zh-CN"/>
        </w:rPr>
        <w:t xml:space="preserve">1 </w:t>
      </w:r>
      <w:r>
        <w:rPr>
          <w:rFonts w:hint="eastAsia" w:ascii="黑体" w:hAnsi="黑体" w:eastAsia="黑体"/>
          <w:sz w:val="21"/>
        </w:rPr>
        <w:t>抽样方法</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以随机抽样的方式在被抽样</w:t>
      </w:r>
      <w:r>
        <w:rPr>
          <w:rFonts w:hint="eastAsia" w:ascii="宋体" w:hAnsi="宋体" w:eastAsia="宋体" w:cs="宋体"/>
          <w:sz w:val="21"/>
          <w:szCs w:val="21"/>
          <w:lang w:eastAsia="zh-CN"/>
        </w:rPr>
        <w:t>销售者</w:t>
      </w:r>
      <w:r>
        <w:rPr>
          <w:rFonts w:hint="eastAsia" w:ascii="宋体" w:hAnsi="宋体" w:eastAsia="宋体" w:cs="宋体"/>
          <w:sz w:val="21"/>
          <w:szCs w:val="21"/>
        </w:rPr>
        <w:t>的待销产品中抽取。</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随机数一般可使用随机数表等方法产生。</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每批次产品抽取不少于2L独立包装样品2份。如产品独立包装大于50L，使用符合GB 29518—2013 《柴油发动机氮氧化物还原剂 尿素水溶液（AUS32）》附录I要求的包装物进行分装取样。其中1份作为检验样品，1份作为备用样品。</w:t>
      </w:r>
    </w:p>
    <w:p>
      <w:pPr>
        <w:snapToGrid w:val="0"/>
        <w:spacing w:beforeLines="0" w:afterLines="0" w:line="440" w:lineRule="exact"/>
        <w:rPr>
          <w:rFonts w:hint="eastAsia" w:ascii="黑体" w:hAnsi="黑体" w:eastAsia="黑体"/>
          <w:sz w:val="21"/>
        </w:rPr>
      </w:pPr>
      <w:r>
        <w:rPr>
          <w:rFonts w:hint="eastAsia" w:ascii="黑体" w:hAnsi="黑体" w:eastAsia="黑体"/>
          <w:sz w:val="21"/>
          <w:lang w:val="en-US" w:eastAsia="zh-CN"/>
        </w:rPr>
        <w:t xml:space="preserve">2 </w:t>
      </w:r>
      <w:r>
        <w:rPr>
          <w:rFonts w:hint="eastAsia" w:ascii="黑体" w:hAnsi="黑体" w:eastAsia="黑体"/>
          <w:sz w:val="21"/>
        </w:rPr>
        <w:t>检验依据</w:t>
      </w:r>
    </w:p>
    <w:tbl>
      <w:tblPr>
        <w:tblStyle w:val="7"/>
        <w:tblW w:w="8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852"/>
        <w:gridCol w:w="1422"/>
        <w:gridCol w:w="2840"/>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序号</w:t>
            </w:r>
          </w:p>
        </w:tc>
        <w:tc>
          <w:tcPr>
            <w:tcW w:w="2274" w:type="dxa"/>
            <w:gridSpan w:val="2"/>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检验项目</w:t>
            </w:r>
          </w:p>
        </w:tc>
        <w:tc>
          <w:tcPr>
            <w:tcW w:w="2840"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lang w:eastAsia="zh-CN"/>
              </w:rPr>
              <w:t>检验依据</w:t>
            </w:r>
          </w:p>
        </w:tc>
        <w:tc>
          <w:tcPr>
            <w:tcW w:w="2421" w:type="dxa"/>
            <w:vAlign w:val="center"/>
          </w:tcPr>
          <w:p>
            <w:pPr>
              <w:snapToGrid w:val="0"/>
              <w:spacing w:beforeLines="0" w:afterLines="0" w:line="440" w:lineRule="exact"/>
              <w:jc w:val="center"/>
              <w:rPr>
                <w:rFonts w:hint="default" w:ascii="宋体" w:hAnsi="宋体" w:eastAsia="宋体"/>
                <w:sz w:val="21"/>
                <w:lang w:val="en-US" w:eastAsia="zh-CN"/>
              </w:rPr>
            </w:pPr>
            <w:r>
              <w:rPr>
                <w:rFonts w:hint="default" w:ascii="宋体" w:hAnsi="宋体" w:eastAsia="宋体"/>
                <w:sz w:val="21"/>
                <w:lang w:eastAsia="zh-CN"/>
              </w:rPr>
              <w:t>检验</w:t>
            </w:r>
            <w:r>
              <w:rPr>
                <w:rFonts w:hint="default" w:ascii="宋体" w:hAnsi="宋体" w:eastAsia="宋体"/>
                <w:sz w:val="21"/>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Align w:val="center"/>
          </w:tcPr>
          <w:p>
            <w:pPr>
              <w:snapToGrid w:val="0"/>
              <w:spacing w:beforeLines="0" w:afterLines="0" w:line="440" w:lineRule="exact"/>
              <w:jc w:val="center"/>
              <w:rPr>
                <w:rFonts w:hint="default" w:ascii="宋体" w:hAnsi="宋体" w:eastAsia="宋体"/>
                <w:sz w:val="21"/>
              </w:rPr>
            </w:pPr>
          </w:p>
        </w:tc>
        <w:tc>
          <w:tcPr>
            <w:tcW w:w="2274" w:type="dxa"/>
            <w:gridSpan w:val="2"/>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尿素含量</w:t>
            </w:r>
          </w:p>
        </w:tc>
        <w:tc>
          <w:tcPr>
            <w:tcW w:w="2840"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29518-2013</w:t>
            </w:r>
          </w:p>
        </w:tc>
        <w:tc>
          <w:tcPr>
            <w:tcW w:w="2421"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29518-2013</w:t>
            </w:r>
            <w:r>
              <w:rPr>
                <w:rFonts w:hint="default" w:ascii="宋体" w:hAnsi="宋体" w:eastAsia="宋体"/>
                <w:sz w:val="21"/>
                <w:lang w:eastAsia="zh-CN"/>
              </w:rPr>
              <w:t>附录</w:t>
            </w:r>
            <w:r>
              <w:rPr>
                <w:rFonts w:hint="default" w:ascii="宋体" w:hAnsi="宋体" w:eastAsia="宋体"/>
                <w:sz w:val="21"/>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Align w:val="center"/>
          </w:tcPr>
          <w:p>
            <w:pPr>
              <w:snapToGrid w:val="0"/>
              <w:spacing w:beforeLines="0" w:afterLines="0" w:line="440" w:lineRule="exact"/>
              <w:jc w:val="center"/>
              <w:rPr>
                <w:rFonts w:hint="default" w:ascii="宋体" w:hAnsi="宋体" w:eastAsia="宋体"/>
                <w:sz w:val="21"/>
              </w:rPr>
            </w:pPr>
          </w:p>
        </w:tc>
        <w:tc>
          <w:tcPr>
            <w:tcW w:w="2274" w:type="dxa"/>
            <w:gridSpan w:val="2"/>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折光率</w:t>
            </w:r>
          </w:p>
        </w:tc>
        <w:tc>
          <w:tcPr>
            <w:tcW w:w="2840"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29518-2013</w:t>
            </w:r>
          </w:p>
        </w:tc>
        <w:tc>
          <w:tcPr>
            <w:tcW w:w="2421" w:type="dxa"/>
            <w:vAlign w:val="center"/>
          </w:tcPr>
          <w:p>
            <w:pPr>
              <w:snapToGrid w:val="0"/>
              <w:spacing w:beforeLines="0" w:afterLines="0" w:line="440" w:lineRule="exact"/>
              <w:jc w:val="center"/>
              <w:rPr>
                <w:rFonts w:hint="default" w:ascii="宋体" w:hAnsi="宋体" w:eastAsia="宋体"/>
                <w:sz w:val="21"/>
                <w:lang w:val="en-US" w:eastAsia="zh-CN"/>
              </w:rPr>
            </w:pPr>
            <w:r>
              <w:rPr>
                <w:rFonts w:hint="default" w:ascii="宋体" w:hAnsi="宋体" w:eastAsia="宋体"/>
                <w:sz w:val="21"/>
              </w:rPr>
              <w:t>GB/T 614-20</w:t>
            </w:r>
            <w:r>
              <w:rPr>
                <w:rFonts w:hint="default" w:ascii="宋体" w:hAnsi="宋体" w:eastAsia="宋体"/>
                <w:sz w:val="21"/>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Align w:val="center"/>
          </w:tcPr>
          <w:p>
            <w:pPr>
              <w:snapToGrid w:val="0"/>
              <w:spacing w:beforeLines="0" w:afterLines="0" w:line="440" w:lineRule="exact"/>
              <w:jc w:val="center"/>
              <w:rPr>
                <w:rFonts w:hint="default" w:ascii="宋体" w:hAnsi="宋体" w:eastAsia="宋体"/>
                <w:sz w:val="21"/>
              </w:rPr>
            </w:pPr>
          </w:p>
        </w:tc>
        <w:tc>
          <w:tcPr>
            <w:tcW w:w="852" w:type="dxa"/>
            <w:vMerge w:val="restart"/>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杂</w:t>
            </w:r>
          </w:p>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质</w:t>
            </w:r>
          </w:p>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含</w:t>
            </w:r>
          </w:p>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量</w:t>
            </w:r>
          </w:p>
        </w:tc>
        <w:tc>
          <w:tcPr>
            <w:tcW w:w="1422"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碱度</w:t>
            </w:r>
          </w:p>
        </w:tc>
        <w:tc>
          <w:tcPr>
            <w:tcW w:w="2840"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29518-2013</w:t>
            </w:r>
          </w:p>
        </w:tc>
        <w:tc>
          <w:tcPr>
            <w:tcW w:w="2421" w:type="dxa"/>
            <w:vAlign w:val="center"/>
          </w:tcPr>
          <w:p>
            <w:pPr>
              <w:snapToGrid w:val="0"/>
              <w:spacing w:beforeLines="0" w:afterLines="0" w:line="440" w:lineRule="exact"/>
              <w:jc w:val="center"/>
              <w:rPr>
                <w:rFonts w:hint="default" w:ascii="宋体" w:hAnsi="宋体" w:eastAsia="宋体"/>
                <w:sz w:val="21"/>
                <w:lang w:val="en-US"/>
              </w:rPr>
            </w:pPr>
            <w:r>
              <w:rPr>
                <w:rFonts w:hint="default" w:ascii="宋体" w:hAnsi="宋体" w:eastAsia="宋体"/>
                <w:sz w:val="21"/>
              </w:rPr>
              <w:t>GB 29518-2013</w:t>
            </w:r>
            <w:r>
              <w:rPr>
                <w:rFonts w:hint="default" w:ascii="宋体" w:hAnsi="宋体" w:eastAsia="宋体"/>
                <w:sz w:val="21"/>
                <w:lang w:eastAsia="zh-CN"/>
              </w:rPr>
              <w:t>附录</w:t>
            </w:r>
            <w:r>
              <w:rPr>
                <w:rFonts w:hint="default" w:ascii="宋体" w:hAnsi="宋体" w:eastAsia="宋体"/>
                <w:sz w:val="21"/>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Align w:val="center"/>
          </w:tcPr>
          <w:p>
            <w:pPr>
              <w:snapToGrid w:val="0"/>
              <w:spacing w:beforeLines="0" w:afterLines="0" w:line="440" w:lineRule="exact"/>
              <w:jc w:val="center"/>
              <w:rPr>
                <w:rFonts w:hint="default" w:ascii="宋体" w:hAnsi="宋体" w:eastAsia="宋体"/>
                <w:sz w:val="21"/>
              </w:rPr>
            </w:pPr>
          </w:p>
        </w:tc>
        <w:tc>
          <w:tcPr>
            <w:tcW w:w="852" w:type="dxa"/>
            <w:vMerge w:val="continue"/>
            <w:vAlign w:val="center"/>
          </w:tcPr>
          <w:p>
            <w:pPr>
              <w:snapToGrid w:val="0"/>
              <w:spacing w:beforeLines="0" w:afterLines="0" w:line="440" w:lineRule="exact"/>
              <w:jc w:val="center"/>
              <w:rPr>
                <w:rFonts w:hint="default" w:ascii="宋体" w:hAnsi="宋体" w:eastAsia="宋体"/>
                <w:sz w:val="21"/>
              </w:rPr>
            </w:pPr>
          </w:p>
        </w:tc>
        <w:tc>
          <w:tcPr>
            <w:tcW w:w="1422"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缩二脲</w:t>
            </w:r>
          </w:p>
        </w:tc>
        <w:tc>
          <w:tcPr>
            <w:tcW w:w="2840"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29518-2013</w:t>
            </w:r>
          </w:p>
        </w:tc>
        <w:tc>
          <w:tcPr>
            <w:tcW w:w="2421" w:type="dxa"/>
            <w:vAlign w:val="center"/>
          </w:tcPr>
          <w:p>
            <w:pPr>
              <w:snapToGrid w:val="0"/>
              <w:spacing w:beforeLines="0" w:afterLines="0" w:line="440" w:lineRule="exact"/>
              <w:jc w:val="center"/>
              <w:rPr>
                <w:rFonts w:hint="default" w:ascii="宋体" w:hAnsi="宋体" w:eastAsia="宋体"/>
                <w:sz w:val="21"/>
                <w:lang w:val="en-US"/>
              </w:rPr>
            </w:pPr>
            <w:r>
              <w:rPr>
                <w:rFonts w:hint="default" w:ascii="宋体" w:hAnsi="宋体" w:eastAsia="宋体"/>
                <w:sz w:val="21"/>
              </w:rPr>
              <w:t>GB 29518-2013</w:t>
            </w:r>
            <w:r>
              <w:rPr>
                <w:rFonts w:hint="default" w:ascii="宋体" w:hAnsi="宋体" w:eastAsia="宋体"/>
                <w:sz w:val="21"/>
                <w:lang w:eastAsia="zh-CN"/>
              </w:rPr>
              <w:t>附录</w:t>
            </w:r>
            <w:r>
              <w:rPr>
                <w:rFonts w:hint="default" w:ascii="宋体" w:hAnsi="宋体" w:eastAsia="宋体"/>
                <w:sz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Align w:val="center"/>
          </w:tcPr>
          <w:p>
            <w:pPr>
              <w:snapToGrid w:val="0"/>
              <w:spacing w:beforeLines="0" w:afterLines="0" w:line="440" w:lineRule="exact"/>
              <w:jc w:val="center"/>
              <w:rPr>
                <w:rFonts w:hint="default" w:ascii="宋体" w:hAnsi="宋体" w:eastAsia="宋体"/>
                <w:sz w:val="21"/>
              </w:rPr>
            </w:pPr>
          </w:p>
        </w:tc>
        <w:tc>
          <w:tcPr>
            <w:tcW w:w="852" w:type="dxa"/>
            <w:vMerge w:val="continue"/>
            <w:vAlign w:val="center"/>
          </w:tcPr>
          <w:p>
            <w:pPr>
              <w:snapToGrid w:val="0"/>
              <w:spacing w:beforeLines="0" w:afterLines="0" w:line="440" w:lineRule="exact"/>
              <w:jc w:val="center"/>
              <w:rPr>
                <w:rFonts w:hint="default" w:ascii="宋体" w:hAnsi="宋体" w:eastAsia="宋体"/>
                <w:sz w:val="21"/>
              </w:rPr>
            </w:pPr>
          </w:p>
        </w:tc>
        <w:tc>
          <w:tcPr>
            <w:tcW w:w="1422"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醛类</w:t>
            </w:r>
          </w:p>
        </w:tc>
        <w:tc>
          <w:tcPr>
            <w:tcW w:w="2840"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29518-2013</w:t>
            </w:r>
          </w:p>
        </w:tc>
        <w:tc>
          <w:tcPr>
            <w:tcW w:w="2421" w:type="dxa"/>
            <w:vAlign w:val="center"/>
          </w:tcPr>
          <w:p>
            <w:pPr>
              <w:snapToGrid w:val="0"/>
              <w:spacing w:beforeLines="0" w:afterLines="0" w:line="440" w:lineRule="exact"/>
              <w:jc w:val="center"/>
              <w:rPr>
                <w:rFonts w:hint="default" w:ascii="宋体" w:hAnsi="宋体" w:eastAsia="宋体"/>
                <w:sz w:val="21"/>
                <w:lang w:val="en-US"/>
              </w:rPr>
            </w:pPr>
            <w:r>
              <w:rPr>
                <w:rFonts w:hint="default" w:ascii="宋体" w:hAnsi="宋体" w:eastAsia="宋体"/>
                <w:sz w:val="21"/>
              </w:rPr>
              <w:t>GB 29518-2013</w:t>
            </w:r>
            <w:r>
              <w:rPr>
                <w:rFonts w:hint="default" w:ascii="宋体" w:hAnsi="宋体" w:eastAsia="宋体"/>
                <w:sz w:val="21"/>
                <w:lang w:eastAsia="zh-CN"/>
              </w:rPr>
              <w:t>附录</w:t>
            </w:r>
            <w:r>
              <w:rPr>
                <w:rFonts w:hint="default" w:ascii="宋体" w:hAnsi="宋体" w:eastAsia="宋体"/>
                <w:sz w:val="21"/>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Align w:val="center"/>
          </w:tcPr>
          <w:p>
            <w:pPr>
              <w:snapToGrid w:val="0"/>
              <w:spacing w:beforeLines="0" w:afterLines="0" w:line="440" w:lineRule="exact"/>
              <w:jc w:val="center"/>
              <w:rPr>
                <w:rFonts w:hint="default" w:ascii="宋体" w:hAnsi="宋体" w:eastAsia="宋体"/>
                <w:sz w:val="21"/>
              </w:rPr>
            </w:pPr>
          </w:p>
        </w:tc>
        <w:tc>
          <w:tcPr>
            <w:tcW w:w="852" w:type="dxa"/>
            <w:vMerge w:val="continue"/>
            <w:vAlign w:val="center"/>
          </w:tcPr>
          <w:p>
            <w:pPr>
              <w:snapToGrid w:val="0"/>
              <w:spacing w:beforeLines="0" w:afterLines="0" w:line="440" w:lineRule="exact"/>
              <w:jc w:val="center"/>
              <w:rPr>
                <w:rFonts w:hint="default" w:ascii="宋体" w:hAnsi="宋体" w:eastAsia="宋体"/>
                <w:sz w:val="21"/>
              </w:rPr>
            </w:pPr>
          </w:p>
        </w:tc>
        <w:tc>
          <w:tcPr>
            <w:tcW w:w="1422"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不溶物</w:t>
            </w:r>
          </w:p>
        </w:tc>
        <w:tc>
          <w:tcPr>
            <w:tcW w:w="2840"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29518-2013</w:t>
            </w:r>
          </w:p>
        </w:tc>
        <w:tc>
          <w:tcPr>
            <w:tcW w:w="2421" w:type="dxa"/>
            <w:vAlign w:val="center"/>
          </w:tcPr>
          <w:p>
            <w:pPr>
              <w:snapToGrid w:val="0"/>
              <w:spacing w:beforeLines="0" w:afterLines="0" w:line="440" w:lineRule="exact"/>
              <w:jc w:val="center"/>
              <w:rPr>
                <w:rFonts w:hint="default" w:ascii="宋体" w:hAnsi="宋体" w:eastAsia="宋体"/>
                <w:sz w:val="21"/>
                <w:lang w:val="en-US"/>
              </w:rPr>
            </w:pPr>
            <w:r>
              <w:rPr>
                <w:rFonts w:hint="default" w:ascii="宋体" w:hAnsi="宋体" w:eastAsia="宋体"/>
                <w:sz w:val="21"/>
              </w:rPr>
              <w:t>GB 29518-2013</w:t>
            </w:r>
            <w:r>
              <w:rPr>
                <w:rFonts w:hint="default" w:ascii="宋体" w:hAnsi="宋体" w:eastAsia="宋体"/>
                <w:sz w:val="21"/>
                <w:lang w:eastAsia="zh-CN"/>
              </w:rPr>
              <w:t>附录</w:t>
            </w:r>
            <w:r>
              <w:rPr>
                <w:rFonts w:hint="default" w:ascii="宋体" w:hAnsi="宋体" w:eastAsia="宋体"/>
                <w:sz w:val="21"/>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Align w:val="center"/>
          </w:tcPr>
          <w:p>
            <w:pPr>
              <w:snapToGrid w:val="0"/>
              <w:spacing w:beforeLines="0" w:afterLines="0" w:line="440" w:lineRule="exact"/>
              <w:jc w:val="center"/>
              <w:rPr>
                <w:rFonts w:hint="default" w:ascii="宋体" w:hAnsi="宋体" w:eastAsia="宋体"/>
                <w:sz w:val="21"/>
              </w:rPr>
            </w:pPr>
          </w:p>
        </w:tc>
        <w:tc>
          <w:tcPr>
            <w:tcW w:w="852" w:type="dxa"/>
            <w:vMerge w:val="continue"/>
            <w:vAlign w:val="center"/>
          </w:tcPr>
          <w:p>
            <w:pPr>
              <w:snapToGrid w:val="0"/>
              <w:spacing w:beforeLines="0" w:afterLines="0" w:line="440" w:lineRule="exact"/>
              <w:jc w:val="center"/>
              <w:rPr>
                <w:rFonts w:hint="default" w:ascii="宋体" w:hAnsi="宋体" w:eastAsia="宋体"/>
                <w:sz w:val="21"/>
              </w:rPr>
            </w:pPr>
          </w:p>
        </w:tc>
        <w:tc>
          <w:tcPr>
            <w:tcW w:w="1422"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磷酸盐</w:t>
            </w:r>
          </w:p>
        </w:tc>
        <w:tc>
          <w:tcPr>
            <w:tcW w:w="2840"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29518-2013</w:t>
            </w:r>
          </w:p>
        </w:tc>
        <w:tc>
          <w:tcPr>
            <w:tcW w:w="2421" w:type="dxa"/>
            <w:vAlign w:val="center"/>
          </w:tcPr>
          <w:p>
            <w:pPr>
              <w:snapToGrid w:val="0"/>
              <w:spacing w:beforeLines="0" w:afterLines="0" w:line="440" w:lineRule="exact"/>
              <w:jc w:val="center"/>
              <w:rPr>
                <w:rFonts w:hint="default" w:ascii="宋体" w:hAnsi="宋体" w:eastAsia="宋体"/>
                <w:sz w:val="21"/>
                <w:lang w:val="en-US"/>
              </w:rPr>
            </w:pPr>
            <w:r>
              <w:rPr>
                <w:rFonts w:hint="default" w:ascii="宋体" w:hAnsi="宋体" w:eastAsia="宋体"/>
                <w:sz w:val="21"/>
              </w:rPr>
              <w:t>GB 29518-2013</w:t>
            </w:r>
            <w:r>
              <w:rPr>
                <w:rFonts w:hint="default" w:ascii="宋体" w:hAnsi="宋体" w:eastAsia="宋体"/>
                <w:sz w:val="21"/>
                <w:lang w:eastAsia="zh-CN"/>
              </w:rPr>
              <w:t>附录</w:t>
            </w:r>
            <w:r>
              <w:rPr>
                <w:rFonts w:hint="default" w:ascii="宋体" w:hAnsi="宋体" w:eastAsia="宋体"/>
                <w:sz w:val="21"/>
                <w:lang w:val="en-US"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Align w:val="center"/>
          </w:tcPr>
          <w:p>
            <w:pPr>
              <w:snapToGrid w:val="0"/>
              <w:spacing w:beforeLines="0" w:afterLines="0" w:line="440" w:lineRule="exact"/>
              <w:jc w:val="center"/>
              <w:rPr>
                <w:rFonts w:hint="default" w:ascii="宋体" w:hAnsi="宋体" w:eastAsia="宋体"/>
                <w:sz w:val="21"/>
              </w:rPr>
            </w:pPr>
          </w:p>
        </w:tc>
        <w:tc>
          <w:tcPr>
            <w:tcW w:w="852" w:type="dxa"/>
            <w:vMerge w:val="continue"/>
            <w:vAlign w:val="center"/>
          </w:tcPr>
          <w:p>
            <w:pPr>
              <w:snapToGrid w:val="0"/>
              <w:spacing w:beforeLines="0" w:afterLines="0" w:line="440" w:lineRule="exact"/>
              <w:jc w:val="center"/>
              <w:rPr>
                <w:rFonts w:hint="default" w:ascii="宋体" w:hAnsi="宋体" w:eastAsia="宋体"/>
                <w:sz w:val="21"/>
              </w:rPr>
            </w:pPr>
          </w:p>
        </w:tc>
        <w:tc>
          <w:tcPr>
            <w:tcW w:w="1422" w:type="dxa"/>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eastAsia="zh-CN"/>
              </w:rPr>
              <w:t>钙</w:t>
            </w:r>
          </w:p>
        </w:tc>
        <w:tc>
          <w:tcPr>
            <w:tcW w:w="2840"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29518-2013</w:t>
            </w:r>
          </w:p>
        </w:tc>
        <w:tc>
          <w:tcPr>
            <w:tcW w:w="2421" w:type="dxa"/>
            <w:vMerge w:val="restart"/>
            <w:vAlign w:val="center"/>
          </w:tcPr>
          <w:p>
            <w:pPr>
              <w:snapToGrid w:val="0"/>
              <w:spacing w:beforeLines="0" w:afterLines="0" w:line="440" w:lineRule="exact"/>
              <w:jc w:val="center"/>
              <w:rPr>
                <w:rFonts w:hint="default" w:ascii="宋体" w:hAnsi="宋体" w:eastAsia="宋体"/>
                <w:sz w:val="21"/>
                <w:lang w:val="en-US"/>
              </w:rPr>
            </w:pPr>
            <w:r>
              <w:rPr>
                <w:rFonts w:hint="default" w:ascii="宋体" w:hAnsi="宋体" w:eastAsia="宋体"/>
                <w:sz w:val="21"/>
              </w:rPr>
              <w:t>GB 29518-2013</w:t>
            </w:r>
            <w:r>
              <w:rPr>
                <w:rFonts w:hint="default" w:ascii="宋体" w:hAnsi="宋体" w:eastAsia="宋体"/>
                <w:sz w:val="21"/>
                <w:lang w:eastAsia="zh-CN"/>
              </w:rPr>
              <w:t>附录</w:t>
            </w:r>
            <w:r>
              <w:rPr>
                <w:rFonts w:hint="default" w:ascii="宋体" w:hAnsi="宋体" w:eastAsia="宋体"/>
                <w:sz w:val="21"/>
                <w:lang w:val="en-US" w:eastAsia="zh-CN"/>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Align w:val="center"/>
          </w:tcPr>
          <w:p>
            <w:pPr>
              <w:snapToGrid w:val="0"/>
              <w:spacing w:beforeLines="0" w:afterLines="0" w:line="440" w:lineRule="exact"/>
              <w:jc w:val="center"/>
              <w:rPr>
                <w:rFonts w:hint="default" w:ascii="宋体" w:hAnsi="宋体" w:eastAsia="宋体"/>
                <w:sz w:val="21"/>
              </w:rPr>
            </w:pPr>
          </w:p>
        </w:tc>
        <w:tc>
          <w:tcPr>
            <w:tcW w:w="852" w:type="dxa"/>
            <w:vMerge w:val="continue"/>
            <w:vAlign w:val="center"/>
          </w:tcPr>
          <w:p>
            <w:pPr>
              <w:snapToGrid w:val="0"/>
              <w:spacing w:beforeLines="0" w:afterLines="0" w:line="440" w:lineRule="exact"/>
              <w:jc w:val="center"/>
              <w:rPr>
                <w:rFonts w:hint="default" w:ascii="宋体" w:hAnsi="宋体" w:eastAsia="宋体"/>
                <w:sz w:val="21"/>
              </w:rPr>
            </w:pPr>
          </w:p>
        </w:tc>
        <w:tc>
          <w:tcPr>
            <w:tcW w:w="1422" w:type="dxa"/>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eastAsia="zh-CN"/>
              </w:rPr>
              <w:t>铁</w:t>
            </w:r>
          </w:p>
        </w:tc>
        <w:tc>
          <w:tcPr>
            <w:tcW w:w="2840"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29518-2013</w:t>
            </w:r>
          </w:p>
        </w:tc>
        <w:tc>
          <w:tcPr>
            <w:tcW w:w="2421" w:type="dxa"/>
            <w:vMerge w:val="continue"/>
            <w:vAlign w:val="center"/>
          </w:tcPr>
          <w:p>
            <w:pPr>
              <w:snapToGrid w:val="0"/>
              <w:spacing w:beforeLines="0" w:afterLines="0" w:line="440" w:lineRule="exact"/>
              <w:jc w:val="center"/>
              <w:rPr>
                <w:rFonts w:hint="default" w:ascii="宋体" w:hAnsi="宋体" w:eastAsia="宋体"/>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Align w:val="center"/>
          </w:tcPr>
          <w:p>
            <w:pPr>
              <w:snapToGrid w:val="0"/>
              <w:spacing w:beforeLines="0" w:afterLines="0" w:line="440" w:lineRule="exact"/>
              <w:jc w:val="center"/>
              <w:rPr>
                <w:rFonts w:hint="default" w:ascii="宋体" w:hAnsi="宋体" w:eastAsia="宋体"/>
                <w:sz w:val="21"/>
              </w:rPr>
            </w:pPr>
          </w:p>
        </w:tc>
        <w:tc>
          <w:tcPr>
            <w:tcW w:w="852" w:type="dxa"/>
            <w:vMerge w:val="continue"/>
            <w:vAlign w:val="center"/>
          </w:tcPr>
          <w:p>
            <w:pPr>
              <w:snapToGrid w:val="0"/>
              <w:spacing w:beforeLines="0" w:afterLines="0" w:line="440" w:lineRule="exact"/>
              <w:jc w:val="center"/>
              <w:rPr>
                <w:rFonts w:hint="default" w:ascii="宋体" w:hAnsi="宋体" w:eastAsia="宋体"/>
                <w:sz w:val="21"/>
              </w:rPr>
            </w:pPr>
          </w:p>
        </w:tc>
        <w:tc>
          <w:tcPr>
            <w:tcW w:w="1422" w:type="dxa"/>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eastAsia="zh-CN"/>
              </w:rPr>
              <w:t>铜</w:t>
            </w:r>
          </w:p>
        </w:tc>
        <w:tc>
          <w:tcPr>
            <w:tcW w:w="2840"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29518-2013</w:t>
            </w:r>
          </w:p>
        </w:tc>
        <w:tc>
          <w:tcPr>
            <w:tcW w:w="2421" w:type="dxa"/>
            <w:vMerge w:val="continue"/>
            <w:vAlign w:val="center"/>
          </w:tcPr>
          <w:p>
            <w:pPr>
              <w:snapToGrid w:val="0"/>
              <w:spacing w:beforeLines="0" w:afterLines="0" w:line="440" w:lineRule="exact"/>
              <w:jc w:val="center"/>
              <w:rPr>
                <w:rFonts w:hint="default" w:ascii="宋体" w:hAnsi="宋体" w:eastAsia="宋体"/>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Align w:val="center"/>
          </w:tcPr>
          <w:p>
            <w:pPr>
              <w:snapToGrid w:val="0"/>
              <w:spacing w:beforeLines="0" w:afterLines="0" w:line="440" w:lineRule="exact"/>
              <w:jc w:val="center"/>
              <w:rPr>
                <w:rFonts w:hint="default" w:ascii="宋体" w:hAnsi="宋体" w:eastAsia="宋体"/>
                <w:sz w:val="21"/>
              </w:rPr>
            </w:pPr>
          </w:p>
        </w:tc>
        <w:tc>
          <w:tcPr>
            <w:tcW w:w="852" w:type="dxa"/>
            <w:vMerge w:val="continue"/>
            <w:vAlign w:val="center"/>
          </w:tcPr>
          <w:p>
            <w:pPr>
              <w:snapToGrid w:val="0"/>
              <w:spacing w:beforeLines="0" w:afterLines="0" w:line="440" w:lineRule="exact"/>
              <w:jc w:val="center"/>
              <w:rPr>
                <w:rFonts w:hint="default" w:ascii="宋体" w:hAnsi="宋体" w:eastAsia="宋体"/>
                <w:sz w:val="21"/>
              </w:rPr>
            </w:pPr>
          </w:p>
        </w:tc>
        <w:tc>
          <w:tcPr>
            <w:tcW w:w="1422" w:type="dxa"/>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eastAsia="zh-CN"/>
              </w:rPr>
              <w:t>锌</w:t>
            </w:r>
          </w:p>
        </w:tc>
        <w:tc>
          <w:tcPr>
            <w:tcW w:w="2840"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29518-2013</w:t>
            </w:r>
          </w:p>
        </w:tc>
        <w:tc>
          <w:tcPr>
            <w:tcW w:w="2421" w:type="dxa"/>
            <w:vMerge w:val="continue"/>
            <w:vAlign w:val="center"/>
          </w:tcPr>
          <w:p>
            <w:pPr>
              <w:snapToGrid w:val="0"/>
              <w:spacing w:beforeLines="0" w:afterLines="0" w:line="440" w:lineRule="exact"/>
              <w:jc w:val="center"/>
              <w:rPr>
                <w:rFonts w:hint="default" w:ascii="宋体" w:hAnsi="宋体" w:eastAsia="宋体"/>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Align w:val="center"/>
          </w:tcPr>
          <w:p>
            <w:pPr>
              <w:snapToGrid w:val="0"/>
              <w:spacing w:beforeLines="0" w:afterLines="0" w:line="440" w:lineRule="exact"/>
              <w:jc w:val="center"/>
              <w:rPr>
                <w:rFonts w:hint="default" w:ascii="宋体" w:hAnsi="宋体" w:eastAsia="宋体"/>
                <w:sz w:val="21"/>
              </w:rPr>
            </w:pPr>
          </w:p>
        </w:tc>
        <w:tc>
          <w:tcPr>
            <w:tcW w:w="852" w:type="dxa"/>
            <w:vMerge w:val="continue"/>
            <w:vAlign w:val="center"/>
          </w:tcPr>
          <w:p>
            <w:pPr>
              <w:snapToGrid w:val="0"/>
              <w:spacing w:beforeLines="0" w:afterLines="0" w:line="440" w:lineRule="exact"/>
              <w:jc w:val="center"/>
              <w:rPr>
                <w:rFonts w:hint="default" w:ascii="宋体" w:hAnsi="宋体" w:eastAsia="宋体"/>
                <w:sz w:val="21"/>
              </w:rPr>
            </w:pPr>
          </w:p>
        </w:tc>
        <w:tc>
          <w:tcPr>
            <w:tcW w:w="1422" w:type="dxa"/>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eastAsia="zh-CN"/>
              </w:rPr>
              <w:t>铬</w:t>
            </w:r>
          </w:p>
        </w:tc>
        <w:tc>
          <w:tcPr>
            <w:tcW w:w="2840"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29518-2013</w:t>
            </w:r>
          </w:p>
        </w:tc>
        <w:tc>
          <w:tcPr>
            <w:tcW w:w="2421" w:type="dxa"/>
            <w:vMerge w:val="continue"/>
            <w:vAlign w:val="center"/>
          </w:tcPr>
          <w:p>
            <w:pPr>
              <w:snapToGrid w:val="0"/>
              <w:spacing w:beforeLines="0" w:afterLines="0" w:line="440" w:lineRule="exact"/>
              <w:jc w:val="center"/>
              <w:rPr>
                <w:rFonts w:hint="default" w:ascii="宋体" w:hAnsi="宋体" w:eastAsia="宋体"/>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Align w:val="center"/>
          </w:tcPr>
          <w:p>
            <w:pPr>
              <w:snapToGrid w:val="0"/>
              <w:spacing w:beforeLines="0" w:afterLines="0" w:line="440" w:lineRule="exact"/>
              <w:jc w:val="center"/>
              <w:rPr>
                <w:rFonts w:hint="default" w:ascii="宋体" w:hAnsi="宋体" w:eastAsia="宋体"/>
                <w:sz w:val="21"/>
              </w:rPr>
            </w:pPr>
          </w:p>
        </w:tc>
        <w:tc>
          <w:tcPr>
            <w:tcW w:w="852" w:type="dxa"/>
            <w:vMerge w:val="continue"/>
            <w:vAlign w:val="center"/>
          </w:tcPr>
          <w:p>
            <w:pPr>
              <w:snapToGrid w:val="0"/>
              <w:spacing w:beforeLines="0" w:afterLines="0" w:line="440" w:lineRule="exact"/>
              <w:jc w:val="center"/>
              <w:rPr>
                <w:rFonts w:hint="default" w:ascii="宋体" w:hAnsi="宋体" w:eastAsia="宋体"/>
                <w:sz w:val="21"/>
              </w:rPr>
            </w:pPr>
          </w:p>
        </w:tc>
        <w:tc>
          <w:tcPr>
            <w:tcW w:w="1422" w:type="dxa"/>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eastAsia="zh-CN"/>
              </w:rPr>
              <w:t>镍</w:t>
            </w:r>
          </w:p>
        </w:tc>
        <w:tc>
          <w:tcPr>
            <w:tcW w:w="2840"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29518-2013</w:t>
            </w:r>
          </w:p>
        </w:tc>
        <w:tc>
          <w:tcPr>
            <w:tcW w:w="2421" w:type="dxa"/>
            <w:vMerge w:val="continue"/>
            <w:vAlign w:val="center"/>
          </w:tcPr>
          <w:p>
            <w:pPr>
              <w:snapToGrid w:val="0"/>
              <w:spacing w:beforeLines="0" w:afterLines="0" w:line="440" w:lineRule="exact"/>
              <w:jc w:val="center"/>
              <w:rPr>
                <w:rFonts w:hint="default" w:ascii="宋体" w:hAnsi="宋体" w:eastAsia="宋体"/>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Align w:val="center"/>
          </w:tcPr>
          <w:p>
            <w:pPr>
              <w:snapToGrid w:val="0"/>
              <w:spacing w:beforeLines="0" w:afterLines="0" w:line="440" w:lineRule="exact"/>
              <w:jc w:val="center"/>
              <w:rPr>
                <w:rFonts w:hint="default" w:ascii="宋体" w:hAnsi="宋体" w:eastAsia="宋体"/>
                <w:sz w:val="21"/>
              </w:rPr>
            </w:pPr>
          </w:p>
        </w:tc>
        <w:tc>
          <w:tcPr>
            <w:tcW w:w="852" w:type="dxa"/>
            <w:vMerge w:val="continue"/>
            <w:vAlign w:val="center"/>
          </w:tcPr>
          <w:p>
            <w:pPr>
              <w:snapToGrid w:val="0"/>
              <w:spacing w:beforeLines="0" w:afterLines="0" w:line="440" w:lineRule="exact"/>
              <w:jc w:val="center"/>
              <w:rPr>
                <w:rFonts w:hint="default" w:ascii="宋体" w:hAnsi="宋体" w:eastAsia="宋体"/>
                <w:sz w:val="21"/>
              </w:rPr>
            </w:pPr>
          </w:p>
        </w:tc>
        <w:tc>
          <w:tcPr>
            <w:tcW w:w="1422" w:type="dxa"/>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eastAsia="zh-CN"/>
              </w:rPr>
              <w:t>铝</w:t>
            </w:r>
          </w:p>
        </w:tc>
        <w:tc>
          <w:tcPr>
            <w:tcW w:w="2840"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29518-2013</w:t>
            </w:r>
          </w:p>
        </w:tc>
        <w:tc>
          <w:tcPr>
            <w:tcW w:w="2421" w:type="dxa"/>
            <w:vMerge w:val="continue"/>
            <w:vAlign w:val="center"/>
          </w:tcPr>
          <w:p>
            <w:pPr>
              <w:snapToGrid w:val="0"/>
              <w:spacing w:beforeLines="0" w:afterLines="0" w:line="440" w:lineRule="exact"/>
              <w:jc w:val="center"/>
              <w:rPr>
                <w:rFonts w:hint="default" w:ascii="宋体" w:hAnsi="宋体" w:eastAsia="宋体"/>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Align w:val="center"/>
          </w:tcPr>
          <w:p>
            <w:pPr>
              <w:snapToGrid w:val="0"/>
              <w:spacing w:beforeLines="0" w:afterLines="0" w:line="440" w:lineRule="exact"/>
              <w:jc w:val="center"/>
              <w:rPr>
                <w:rFonts w:hint="default" w:ascii="宋体" w:hAnsi="宋体" w:eastAsia="宋体"/>
                <w:sz w:val="21"/>
              </w:rPr>
            </w:pPr>
          </w:p>
        </w:tc>
        <w:tc>
          <w:tcPr>
            <w:tcW w:w="852" w:type="dxa"/>
            <w:vMerge w:val="continue"/>
            <w:vAlign w:val="center"/>
          </w:tcPr>
          <w:p>
            <w:pPr>
              <w:snapToGrid w:val="0"/>
              <w:spacing w:beforeLines="0" w:afterLines="0" w:line="440" w:lineRule="exact"/>
              <w:jc w:val="center"/>
              <w:rPr>
                <w:rFonts w:hint="default" w:ascii="宋体" w:hAnsi="宋体" w:eastAsia="宋体"/>
                <w:sz w:val="21"/>
              </w:rPr>
            </w:pPr>
          </w:p>
        </w:tc>
        <w:tc>
          <w:tcPr>
            <w:tcW w:w="1422" w:type="dxa"/>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eastAsia="zh-CN"/>
              </w:rPr>
              <w:t>镁</w:t>
            </w:r>
          </w:p>
        </w:tc>
        <w:tc>
          <w:tcPr>
            <w:tcW w:w="2840"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29518-2013</w:t>
            </w:r>
          </w:p>
        </w:tc>
        <w:tc>
          <w:tcPr>
            <w:tcW w:w="2421" w:type="dxa"/>
            <w:vMerge w:val="continue"/>
            <w:vAlign w:val="center"/>
          </w:tcPr>
          <w:p>
            <w:pPr>
              <w:snapToGrid w:val="0"/>
              <w:spacing w:beforeLines="0" w:afterLines="0" w:line="440" w:lineRule="exact"/>
              <w:jc w:val="center"/>
              <w:rPr>
                <w:rFonts w:hint="default" w:ascii="宋体" w:hAnsi="宋体" w:eastAsia="宋体"/>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Align w:val="center"/>
          </w:tcPr>
          <w:p>
            <w:pPr>
              <w:snapToGrid w:val="0"/>
              <w:spacing w:beforeLines="0" w:afterLines="0" w:line="440" w:lineRule="exact"/>
              <w:jc w:val="center"/>
              <w:rPr>
                <w:rFonts w:hint="default" w:ascii="宋体" w:hAnsi="宋体" w:eastAsia="宋体"/>
                <w:sz w:val="21"/>
              </w:rPr>
            </w:pPr>
          </w:p>
        </w:tc>
        <w:tc>
          <w:tcPr>
            <w:tcW w:w="852" w:type="dxa"/>
            <w:vMerge w:val="continue"/>
            <w:vAlign w:val="center"/>
          </w:tcPr>
          <w:p>
            <w:pPr>
              <w:snapToGrid w:val="0"/>
              <w:spacing w:beforeLines="0" w:afterLines="0" w:line="440" w:lineRule="exact"/>
              <w:jc w:val="center"/>
              <w:rPr>
                <w:rFonts w:hint="default" w:ascii="宋体" w:hAnsi="宋体" w:eastAsia="宋体"/>
                <w:sz w:val="21"/>
              </w:rPr>
            </w:pPr>
          </w:p>
        </w:tc>
        <w:tc>
          <w:tcPr>
            <w:tcW w:w="1422" w:type="dxa"/>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eastAsia="zh-CN"/>
              </w:rPr>
              <w:t>钠</w:t>
            </w:r>
          </w:p>
        </w:tc>
        <w:tc>
          <w:tcPr>
            <w:tcW w:w="2840"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29518-2013</w:t>
            </w:r>
          </w:p>
        </w:tc>
        <w:tc>
          <w:tcPr>
            <w:tcW w:w="2421" w:type="dxa"/>
            <w:vMerge w:val="continue"/>
            <w:vAlign w:val="center"/>
          </w:tcPr>
          <w:p>
            <w:pPr>
              <w:snapToGrid w:val="0"/>
              <w:spacing w:beforeLines="0" w:afterLines="0" w:line="440" w:lineRule="exact"/>
              <w:jc w:val="center"/>
              <w:rPr>
                <w:rFonts w:hint="default" w:ascii="宋体" w:hAnsi="宋体" w:eastAsia="宋体"/>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Align w:val="center"/>
          </w:tcPr>
          <w:p>
            <w:pPr>
              <w:snapToGrid w:val="0"/>
              <w:spacing w:beforeLines="0" w:afterLines="0" w:line="440" w:lineRule="exact"/>
              <w:jc w:val="center"/>
              <w:rPr>
                <w:rFonts w:hint="default" w:ascii="宋体" w:hAnsi="宋体" w:eastAsia="宋体"/>
                <w:sz w:val="21"/>
              </w:rPr>
            </w:pPr>
          </w:p>
        </w:tc>
        <w:tc>
          <w:tcPr>
            <w:tcW w:w="852" w:type="dxa"/>
            <w:vMerge w:val="continue"/>
            <w:vAlign w:val="center"/>
          </w:tcPr>
          <w:p>
            <w:pPr>
              <w:snapToGrid w:val="0"/>
              <w:spacing w:beforeLines="0" w:afterLines="0" w:line="440" w:lineRule="exact"/>
              <w:jc w:val="center"/>
              <w:rPr>
                <w:rFonts w:hint="default" w:ascii="宋体" w:hAnsi="宋体" w:eastAsia="宋体"/>
                <w:sz w:val="21"/>
              </w:rPr>
            </w:pPr>
          </w:p>
        </w:tc>
        <w:tc>
          <w:tcPr>
            <w:tcW w:w="1422" w:type="dxa"/>
            <w:vAlign w:val="center"/>
          </w:tcPr>
          <w:p>
            <w:pPr>
              <w:snapToGrid w:val="0"/>
              <w:spacing w:beforeLines="0" w:afterLines="0" w:line="440" w:lineRule="exact"/>
              <w:jc w:val="center"/>
              <w:rPr>
                <w:rFonts w:hint="default" w:ascii="宋体" w:hAnsi="宋体" w:eastAsia="宋体"/>
                <w:sz w:val="21"/>
                <w:lang w:eastAsia="zh-CN"/>
              </w:rPr>
            </w:pPr>
            <w:r>
              <w:rPr>
                <w:rFonts w:hint="default" w:ascii="宋体" w:hAnsi="宋体" w:eastAsia="宋体"/>
                <w:sz w:val="21"/>
                <w:lang w:eastAsia="zh-CN"/>
              </w:rPr>
              <w:t>钾</w:t>
            </w:r>
          </w:p>
        </w:tc>
        <w:tc>
          <w:tcPr>
            <w:tcW w:w="2840" w:type="dxa"/>
            <w:vAlign w:val="center"/>
          </w:tcPr>
          <w:p>
            <w:pPr>
              <w:snapToGrid w:val="0"/>
              <w:spacing w:beforeLines="0" w:afterLines="0" w:line="440" w:lineRule="exact"/>
              <w:jc w:val="center"/>
              <w:rPr>
                <w:rFonts w:hint="default" w:ascii="宋体" w:hAnsi="宋体" w:eastAsia="宋体"/>
                <w:sz w:val="21"/>
              </w:rPr>
            </w:pPr>
            <w:r>
              <w:rPr>
                <w:rFonts w:hint="default" w:ascii="宋体" w:hAnsi="宋体" w:eastAsia="宋体"/>
                <w:sz w:val="21"/>
              </w:rPr>
              <w:t>GB 29518-2013</w:t>
            </w:r>
          </w:p>
        </w:tc>
        <w:tc>
          <w:tcPr>
            <w:tcW w:w="2421" w:type="dxa"/>
            <w:vMerge w:val="continue"/>
            <w:vAlign w:val="center"/>
          </w:tcPr>
          <w:p>
            <w:pPr>
              <w:snapToGrid w:val="0"/>
              <w:spacing w:beforeLines="0" w:afterLines="0" w:line="440" w:lineRule="exact"/>
              <w:jc w:val="center"/>
              <w:rPr>
                <w:rFonts w:hint="default" w:ascii="宋体" w:hAnsi="宋体" w:eastAsia="宋体"/>
                <w:sz w:val="21"/>
              </w:rPr>
            </w:pPr>
          </w:p>
        </w:tc>
      </w:tr>
    </w:tbl>
    <w:p>
      <w:pPr>
        <w:keepNext w:val="0"/>
        <w:keepLines w:val="0"/>
        <w:pageBreakBefore w:val="0"/>
        <w:widowControl w:val="0"/>
        <w:kinsoku/>
        <w:wordWrap/>
        <w:overflowPunct/>
        <w:topLinePunct w:val="0"/>
        <w:autoSpaceDE/>
        <w:autoSpaceDN/>
        <w:bidi w:val="0"/>
        <w:adjustRightInd/>
        <w:snapToGrid w:val="0"/>
        <w:spacing w:beforeLines="0" w:afterLines="0" w:line="440" w:lineRule="exact"/>
        <w:ind w:firstLine="0" w:firstLineChars="0"/>
        <w:jc w:val="center"/>
        <w:textAlignment w:val="auto"/>
        <w:rPr>
          <w:rFonts w:hint="eastAsia" w:eastAsia="宋体"/>
          <w:sz w:val="21"/>
        </w:rPr>
      </w:pPr>
      <w:r>
        <w:rPr>
          <w:rFonts w:hint="eastAsia" w:eastAsia="宋体"/>
          <w:sz w:val="21"/>
        </w:rPr>
        <w:t>表1 车用尿素产品检验项目、依据、方法</w:t>
      </w:r>
    </w:p>
    <w:p>
      <w:pPr>
        <w:adjustRightInd w:val="0"/>
        <w:snapToGrid w:val="0"/>
        <w:spacing w:line="360" w:lineRule="auto"/>
        <w:ind w:firstLine="420" w:firstLineChars="200"/>
        <w:jc w:val="left"/>
        <w:rPr>
          <w:rFonts w:hint="eastAsia" w:ascii="宋体" w:hAnsi="宋体" w:eastAsia="宋体" w:cs="宋体"/>
          <w:sz w:val="21"/>
          <w:szCs w:val="21"/>
        </w:rPr>
      </w:pP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执行企业标准、团体标准、地方标准的产品，检验项目参照上述内容执行。</w:t>
      </w:r>
    </w:p>
    <w:p>
      <w:pPr>
        <w:adjustRightInd w:val="0"/>
        <w:snapToGrid w:val="0"/>
        <w:spacing w:line="360" w:lineRule="auto"/>
        <w:ind w:firstLine="420" w:firstLineChars="200"/>
        <w:jc w:val="left"/>
        <w:rPr>
          <w:rFonts w:hint="default" w:ascii="宋体" w:hAnsi="宋体" w:eastAsia="宋体" w:cs="宋体"/>
          <w:sz w:val="21"/>
          <w:szCs w:val="21"/>
        </w:rPr>
      </w:pPr>
      <w:r>
        <w:rPr>
          <w:rFonts w:hint="eastAsia" w:ascii="宋体" w:hAnsi="宋体" w:eastAsia="宋体" w:cs="宋体"/>
          <w:sz w:val="21"/>
          <w:szCs w:val="21"/>
        </w:rPr>
        <w:t>凡是注日期的文件，其随后所有的修改单（不包括勘误的内容）或修订版不适用于本规范。凡是不注日期的文件，其最新版本适用于本细则。</w:t>
      </w:r>
    </w:p>
    <w:p>
      <w:pPr>
        <w:snapToGrid w:val="0"/>
        <w:spacing w:beforeLines="0" w:afterLines="0" w:line="440" w:lineRule="exact"/>
        <w:rPr>
          <w:rFonts w:hint="eastAsia" w:ascii="黑体" w:hAnsi="黑体" w:eastAsia="黑体"/>
          <w:sz w:val="21"/>
          <w:lang w:val="en-US" w:eastAsia="zh-CN"/>
        </w:rPr>
      </w:pPr>
      <w:r>
        <w:rPr>
          <w:rFonts w:hint="default" w:ascii="黑体" w:hAnsi="黑体" w:eastAsia="黑体"/>
          <w:sz w:val="21"/>
          <w:lang w:val="en-US" w:eastAsia="zh-CN"/>
        </w:rPr>
        <w:t>3</w:t>
      </w:r>
      <w:r>
        <w:rPr>
          <w:rFonts w:hint="eastAsia" w:ascii="黑体" w:hAnsi="黑体" w:eastAsia="黑体"/>
          <w:sz w:val="21"/>
          <w:lang w:val="en-US" w:eastAsia="zh-CN"/>
        </w:rPr>
        <w:t xml:space="preserve"> 判定规则</w:t>
      </w:r>
    </w:p>
    <w:p>
      <w:pPr>
        <w:snapToGrid w:val="0"/>
        <w:spacing w:beforeLines="0" w:afterLines="0" w:line="440" w:lineRule="exact"/>
        <w:rPr>
          <w:rFonts w:hint="eastAsia" w:ascii="宋体" w:hAnsi="宋体" w:eastAsia="宋体"/>
          <w:sz w:val="21"/>
        </w:rPr>
      </w:pPr>
      <w:r>
        <w:rPr>
          <w:rFonts w:hint="default" w:ascii="宋体" w:hAnsi="宋体" w:eastAsia="宋体"/>
          <w:sz w:val="21"/>
        </w:rPr>
        <w:t>3.1</w:t>
      </w:r>
      <w:r>
        <w:rPr>
          <w:rFonts w:hint="eastAsia" w:ascii="宋体" w:hAnsi="宋体" w:eastAsia="宋体"/>
          <w:sz w:val="21"/>
        </w:rPr>
        <w:t>依据标准</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 xml:space="preserve">GB 29518-2013 柴油发动机氮氧化物还原剂 尿素水溶液(AUS 32) </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现行有效的企业标准、团体标准、地方标准及产品明示质量要求</w:t>
      </w:r>
    </w:p>
    <w:p>
      <w:pPr>
        <w:snapToGrid w:val="0"/>
        <w:spacing w:beforeLines="0" w:afterLines="0" w:line="440" w:lineRule="exact"/>
        <w:rPr>
          <w:rFonts w:hint="eastAsia" w:ascii="宋体" w:hAnsi="宋体" w:eastAsia="宋体"/>
          <w:sz w:val="21"/>
        </w:rPr>
      </w:pPr>
      <w:bookmarkStart w:id="0" w:name="_GoBack"/>
      <w:r>
        <w:rPr>
          <w:rFonts w:hint="default" w:ascii="宋体" w:hAnsi="宋体" w:eastAsia="宋体"/>
          <w:sz w:val="21"/>
        </w:rPr>
        <w:t>3.2</w:t>
      </w:r>
      <w:r>
        <w:rPr>
          <w:rFonts w:hint="eastAsia" w:ascii="宋体" w:hAnsi="宋体" w:eastAsia="宋体"/>
          <w:sz w:val="21"/>
        </w:rPr>
        <w:t xml:space="preserve"> 判定原则</w:t>
      </w:r>
    </w:p>
    <w:bookmarkEnd w:id="0"/>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经</w:t>
      </w:r>
      <w:r>
        <w:rPr>
          <w:rFonts w:hint="eastAsia" w:ascii="宋体" w:hAnsi="宋体" w:eastAsia="宋体" w:cs="宋体"/>
          <w:sz w:val="21"/>
          <w:szCs w:val="21"/>
        </w:rPr>
        <w:t>检验，检验项目全部合格，判定为被抽查产品所检项目未发现不合格；检验项目中任一项或一项以上不合格，判定为被抽查产品不合格。</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若被检产品明示的质量要求高于本细则中检验项目依据的标准要求时，应按被检产品明示的质量要求判定。</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若被检产品明示的质量要求低于本细则中检验项目依据的强制性标准要求时，应按照强制性标准要求判定。</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若被检产品明示的质量要求低于或包含本细则中检验项目依据的推荐性标准要求时，应以被检产品明示的质量要求判定。</w:t>
      </w:r>
    </w:p>
    <w:p>
      <w:pPr>
        <w:adjustRightInd w:val="0"/>
        <w:snapToGrid w:val="0"/>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若被检产品明示的质量要求缺少本细则中检验项目依据的强制性标准要求时，应按照强制性标准要求判定。</w:t>
      </w:r>
    </w:p>
    <w:p>
      <w:pPr>
        <w:adjustRightInd w:val="0"/>
        <w:snapToGrid w:val="0"/>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若被检产品明示的质量要求缺少本细则中检验项目依据的推荐性标准要求时，该项目不参与判定。</w:t>
      </w:r>
    </w:p>
    <w:p>
      <w:pPr>
        <w:adjustRightInd w:val="0"/>
        <w:snapToGrid w:val="0"/>
        <w:spacing w:line="360" w:lineRule="auto"/>
        <w:ind w:firstLine="420" w:firstLineChars="200"/>
        <w:jc w:val="left"/>
        <w:rPr>
          <w:rFonts w:hint="default"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snapToGrid w:val="0"/>
        <w:spacing w:line="360" w:lineRule="auto"/>
        <w:ind w:firstLine="640" w:firstLineChars="200"/>
        <w:textAlignment w:val="auto"/>
        <w:rPr>
          <w:rFonts w:hint="eastAsia" w:ascii="仿宋" w:hAnsi="仿宋" w:eastAsia="仿宋" w:cs="仿宋"/>
          <w:color w:val="000000"/>
          <w:sz w:val="32"/>
          <w:szCs w:val="32"/>
        </w:rPr>
      </w:pPr>
    </w:p>
    <w:sectPr>
      <w:pgSz w:w="11906" w:h="16838"/>
      <w:pgMar w:top="1440" w:right="1803" w:bottom="1440" w:left="1803"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Sim Sun">
    <w:altName w:val="宋体"/>
    <w:panose1 w:val="00000000000000000000"/>
    <w:charset w:val="86"/>
    <w:family w:val="swiss"/>
    <w:pitch w:val="default"/>
    <w:sig w:usb0="00000000" w:usb1="00000000" w:usb2="0000001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DejaVu Sans">
    <w:panose1 w:val="020B0603030804020204"/>
    <w:charset w:val="00"/>
    <w:family w:val="auto"/>
    <w:pitch w:val="default"/>
    <w:sig w:usb0="E7006EFF" w:usb1="D200FDFF" w:usb2="0A246029" w:usb3="0400200C" w:csb0="600001FF" w:csb1="DFFF0000"/>
  </w:font>
  <w:font w:name="宋体-PUA">
    <w:panose1 w:val="02010600030101010101"/>
    <w:charset w:val="86"/>
    <w:family w:val="auto"/>
    <w:pitch w:val="default"/>
    <w:sig w:usb0="00000000" w:usb1="1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5"/>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hYTExOTI3ZGJhYmUxZWY5OTFjNzM4MDYyZGIyZDUifQ=="/>
  </w:docVars>
  <w:rsids>
    <w:rsidRoot w:val="00172A27"/>
    <w:rsid w:val="00012B0D"/>
    <w:rsid w:val="00025697"/>
    <w:rsid w:val="0004415E"/>
    <w:rsid w:val="00064A51"/>
    <w:rsid w:val="00160A81"/>
    <w:rsid w:val="00172A27"/>
    <w:rsid w:val="00186314"/>
    <w:rsid w:val="001B7DE6"/>
    <w:rsid w:val="001C444C"/>
    <w:rsid w:val="001F0EA8"/>
    <w:rsid w:val="001F5715"/>
    <w:rsid w:val="00206AFC"/>
    <w:rsid w:val="00213D44"/>
    <w:rsid w:val="002448CB"/>
    <w:rsid w:val="002A7CB8"/>
    <w:rsid w:val="003932D3"/>
    <w:rsid w:val="003E1F22"/>
    <w:rsid w:val="004710E5"/>
    <w:rsid w:val="00473E30"/>
    <w:rsid w:val="00493E98"/>
    <w:rsid w:val="004B7699"/>
    <w:rsid w:val="004C5730"/>
    <w:rsid w:val="004E1763"/>
    <w:rsid w:val="00540196"/>
    <w:rsid w:val="005708F4"/>
    <w:rsid w:val="0057097D"/>
    <w:rsid w:val="00583487"/>
    <w:rsid w:val="0061001F"/>
    <w:rsid w:val="00612F8D"/>
    <w:rsid w:val="00641999"/>
    <w:rsid w:val="00713BAB"/>
    <w:rsid w:val="007E2A33"/>
    <w:rsid w:val="007E75E8"/>
    <w:rsid w:val="00886D2D"/>
    <w:rsid w:val="00897941"/>
    <w:rsid w:val="008A67F4"/>
    <w:rsid w:val="008E2AA3"/>
    <w:rsid w:val="008F41FD"/>
    <w:rsid w:val="0092374C"/>
    <w:rsid w:val="00981B6F"/>
    <w:rsid w:val="009F62A2"/>
    <w:rsid w:val="00A0073C"/>
    <w:rsid w:val="00A109DC"/>
    <w:rsid w:val="00A9797D"/>
    <w:rsid w:val="00AC1025"/>
    <w:rsid w:val="00AC57F3"/>
    <w:rsid w:val="00B35A12"/>
    <w:rsid w:val="00B762BE"/>
    <w:rsid w:val="00B96F12"/>
    <w:rsid w:val="00BF77C3"/>
    <w:rsid w:val="00C343D9"/>
    <w:rsid w:val="00C84E5A"/>
    <w:rsid w:val="00CF7CFC"/>
    <w:rsid w:val="00D06481"/>
    <w:rsid w:val="00DD51A4"/>
    <w:rsid w:val="00E15AFC"/>
    <w:rsid w:val="00F27BB4"/>
    <w:rsid w:val="00F81988"/>
    <w:rsid w:val="00F9662F"/>
    <w:rsid w:val="00F97675"/>
    <w:rsid w:val="00FC0E01"/>
    <w:rsid w:val="05E72587"/>
    <w:rsid w:val="07280338"/>
    <w:rsid w:val="0BD31F12"/>
    <w:rsid w:val="0BD47733"/>
    <w:rsid w:val="0F75262C"/>
    <w:rsid w:val="0FB56AC3"/>
    <w:rsid w:val="0FD85A54"/>
    <w:rsid w:val="19353F17"/>
    <w:rsid w:val="19596F42"/>
    <w:rsid w:val="1DC721AF"/>
    <w:rsid w:val="24125487"/>
    <w:rsid w:val="24776E71"/>
    <w:rsid w:val="2C803B90"/>
    <w:rsid w:val="324F4F13"/>
    <w:rsid w:val="35C51E6D"/>
    <w:rsid w:val="3A086DB2"/>
    <w:rsid w:val="3A8033C8"/>
    <w:rsid w:val="3D3433C6"/>
    <w:rsid w:val="3D4976DB"/>
    <w:rsid w:val="3DE84D67"/>
    <w:rsid w:val="408D52A1"/>
    <w:rsid w:val="409F2373"/>
    <w:rsid w:val="42E75E12"/>
    <w:rsid w:val="48482AF2"/>
    <w:rsid w:val="4A7B5827"/>
    <w:rsid w:val="4D31306D"/>
    <w:rsid w:val="4D8A6527"/>
    <w:rsid w:val="4E4B17E8"/>
    <w:rsid w:val="51F00DC1"/>
    <w:rsid w:val="57B161EC"/>
    <w:rsid w:val="5C074CA1"/>
    <w:rsid w:val="5C555E83"/>
    <w:rsid w:val="5E2133CE"/>
    <w:rsid w:val="605817D3"/>
    <w:rsid w:val="67C60E6F"/>
    <w:rsid w:val="67F37D9E"/>
    <w:rsid w:val="6C002C81"/>
    <w:rsid w:val="6D0B7A4D"/>
    <w:rsid w:val="727F33AE"/>
    <w:rsid w:val="7443040B"/>
    <w:rsid w:val="78FE27F1"/>
    <w:rsid w:val="791D05B3"/>
    <w:rsid w:val="7A9900BC"/>
    <w:rsid w:val="7F5B1CAA"/>
    <w:rsid w:val="7FB83F1F"/>
    <w:rsid w:val="DA4FA80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iPriority="99" w:semiHidden="0"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Document Map"/>
    <w:unhideWhenUsed/>
    <w:qFormat/>
    <w:uiPriority w:val="99"/>
    <w:pPr>
      <w:widowControl w:val="0"/>
      <w:jc w:val="both"/>
    </w:pPr>
    <w:rPr>
      <w:rFonts w:ascii="宋体" w:hAnsi="宋体" w:eastAsia="宋体" w:cs="宋体"/>
      <w:kern w:val="2"/>
      <w:sz w:val="18"/>
      <w:szCs w:val="18"/>
      <w:lang w:val="en-US" w:eastAsia="zh-CN" w:bidi="ar-SA"/>
    </w:rPr>
  </w:style>
  <w:style w:type="paragraph" w:styleId="3">
    <w:name w:val="Plain Text"/>
    <w:basedOn w:val="1"/>
    <w:unhideWhenUsed/>
    <w:qFormat/>
    <w:uiPriority w:val="99"/>
    <w:rPr>
      <w:rFonts w:ascii="宋体" w:hAnsi="Courier New"/>
      <w:kern w:val="0"/>
      <w:sz w:val="20"/>
      <w:szCs w:val="20"/>
    </w:rPr>
  </w:style>
  <w:style w:type="paragraph" w:styleId="4">
    <w:name w:val="Balloon Text"/>
    <w:basedOn w:val="1"/>
    <w:link w:val="10"/>
    <w:semiHidden/>
    <w:qFormat/>
    <w:uiPriority w:val="99"/>
    <w:rPr>
      <w:sz w:val="18"/>
      <w:szCs w:val="18"/>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99"/>
    <w:rPr>
      <w:rFonts w:cs="Times New Roman"/>
    </w:rPr>
  </w:style>
  <w:style w:type="character" w:customStyle="1" w:styleId="10">
    <w:name w:val="Balloon Text Char"/>
    <w:basedOn w:val="8"/>
    <w:link w:val="4"/>
    <w:semiHidden/>
    <w:qFormat/>
    <w:locked/>
    <w:uiPriority w:val="99"/>
    <w:rPr>
      <w:rFonts w:ascii="Times New Roman" w:hAnsi="Times New Roman" w:cs="Times New Roman"/>
      <w:kern w:val="2"/>
      <w:sz w:val="18"/>
      <w:szCs w:val="18"/>
    </w:rPr>
  </w:style>
  <w:style w:type="character" w:customStyle="1" w:styleId="11">
    <w:name w:val="Footer Char"/>
    <w:basedOn w:val="8"/>
    <w:link w:val="5"/>
    <w:semiHidden/>
    <w:qFormat/>
    <w:locked/>
    <w:uiPriority w:val="99"/>
    <w:rPr>
      <w:rFonts w:ascii="Times New Roman" w:hAnsi="Times New Roman" w:cs="Times New Roman"/>
      <w:sz w:val="18"/>
      <w:szCs w:val="18"/>
    </w:rPr>
  </w:style>
  <w:style w:type="character" w:customStyle="1" w:styleId="12">
    <w:name w:val="Header Char"/>
    <w:basedOn w:val="8"/>
    <w:link w:val="6"/>
    <w:qFormat/>
    <w:locked/>
    <w:uiPriority w:val="99"/>
    <w:rPr>
      <w:rFonts w:ascii="Times New Roman" w:hAnsi="Times New Roman" w:eastAsia="宋体" w:cs="Times New Roman"/>
      <w:kern w:val="2"/>
      <w:sz w:val="18"/>
      <w:szCs w:val="18"/>
    </w:rPr>
  </w:style>
  <w:style w:type="paragraph" w:customStyle="1" w:styleId="13">
    <w:name w:val="表格内容"/>
    <w:basedOn w:val="1"/>
    <w:qFormat/>
    <w:uiPriority w:val="99"/>
    <w:pPr>
      <w:snapToGrid w:val="0"/>
      <w:spacing w:line="320" w:lineRule="exact"/>
      <w:jc w:val="center"/>
    </w:pPr>
    <w:rPr>
      <w:rFonts w:ascii="仿宋_GB2312" w:hAnsi="Calibri" w:eastAsia="仿宋_GB2312" w:cs="Sim Sun"/>
      <w:kern w:val="0"/>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Kingsoft</Company>
  <Pages>3</Pages>
  <Words>767</Words>
  <Characters>1057</Characters>
  <Lines>0</Lines>
  <Paragraphs>0</Paragraphs>
  <TotalTime>0</TotalTime>
  <ScaleCrop>false</ScaleCrop>
  <LinksUpToDate>false</LinksUpToDate>
  <CharactersWithSpaces>1097</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2021-11-11T17:50:00Z</dcterms:created>
  <dc:creator>陈林茂</dc:creator>
  <cp:lastModifiedBy>user</cp:lastModifiedBy>
  <dcterms:modified xsi:type="dcterms:W3CDTF">2024-08-30T16:32:23Z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12D232DBBB6F4528A94C9065299B367D_13</vt:lpwstr>
  </property>
</Properties>
</file>