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40" w:lineRule="atLeast"/>
        <w:ind w:firstLine="600"/>
        <w:rPr>
          <w:rFonts w:hint="eastAsia" w:ascii="仿宋" w:hAnsi="仿宋" w:eastAsia="仿宋" w:cs="仿宋"/>
          <w:color w:val="333333"/>
          <w:kern w:val="0"/>
          <w:sz w:val="30"/>
          <w:szCs w:val="30"/>
          <w:lang w:eastAsia="zh-CN"/>
        </w:rPr>
      </w:pPr>
    </w:p>
    <w:p>
      <w:pPr>
        <w:widowControl/>
        <w:shd w:val="clear" w:color="auto" w:fill="FFFFFF"/>
        <w:spacing w:line="540" w:lineRule="atLeast"/>
        <w:ind w:firstLine="600"/>
        <w:rPr>
          <w:rFonts w:hint="eastAsia" w:ascii="仿宋" w:hAnsi="仿宋" w:eastAsia="仿宋" w:cs="仿宋"/>
          <w:color w:val="333333"/>
          <w:kern w:val="0"/>
          <w:szCs w:val="21"/>
        </w:rPr>
      </w:pPr>
      <w:r>
        <w:rPr>
          <w:rFonts w:hint="eastAsia" w:ascii="仿宋" w:hAnsi="仿宋" w:eastAsia="仿宋" w:cs="仿宋"/>
          <w:color w:val="333333"/>
          <w:kern w:val="0"/>
          <w:sz w:val="30"/>
          <w:szCs w:val="30"/>
        </w:rPr>
        <w:t> </w:t>
      </w:r>
    </w:p>
    <w:p>
      <w:pPr>
        <w:widowControl/>
        <w:shd w:val="clear" w:color="auto" w:fill="FFFFFF"/>
        <w:spacing w:line="540" w:lineRule="atLeast"/>
        <w:ind w:firstLine="600"/>
        <w:rPr>
          <w:rFonts w:hint="eastAsia" w:ascii="仿宋" w:hAnsi="仿宋" w:eastAsia="仿宋" w:cs="仿宋"/>
          <w:color w:val="333333"/>
          <w:kern w:val="0"/>
          <w:szCs w:val="21"/>
        </w:rPr>
      </w:pPr>
      <w:r>
        <w:rPr>
          <w:rFonts w:hint="eastAsia" w:ascii="仿宋" w:hAnsi="仿宋" w:eastAsia="仿宋" w:cs="仿宋"/>
          <w:color w:val="333333"/>
          <w:kern w:val="0"/>
          <w:sz w:val="30"/>
          <w:szCs w:val="30"/>
        </w:rPr>
        <w:t> </w:t>
      </w:r>
    </w:p>
    <w:p>
      <w:pPr>
        <w:widowControl/>
        <w:shd w:val="clear" w:color="auto" w:fill="FFFFFF"/>
        <w:spacing w:line="540" w:lineRule="atLeast"/>
        <w:jc w:val="center"/>
        <w:rPr>
          <w:rFonts w:hint="eastAsia" w:ascii="仿宋" w:hAnsi="仿宋" w:eastAsia="仿宋" w:cs="仿宋"/>
          <w:color w:val="333333"/>
          <w:kern w:val="0"/>
          <w:szCs w:val="21"/>
        </w:rPr>
      </w:pPr>
      <w:r>
        <w:rPr>
          <w:rFonts w:hint="eastAsia" w:ascii="仿宋" w:hAnsi="仿宋" w:eastAsia="仿宋" w:cs="仿宋"/>
          <w:color w:val="333333"/>
          <w:kern w:val="0"/>
          <w:sz w:val="30"/>
          <w:szCs w:val="30"/>
        </w:rPr>
        <w:t> </w:t>
      </w:r>
    </w:p>
    <w:p>
      <w:pPr>
        <w:widowControl/>
        <w:shd w:val="clear" w:color="auto" w:fill="FFFFFF"/>
        <w:spacing w:line="560" w:lineRule="atLeast"/>
        <w:jc w:val="center"/>
        <w:rPr>
          <w:rFonts w:hint="eastAsia" w:ascii="仿宋" w:hAnsi="仿宋" w:eastAsia="仿宋" w:cs="仿宋"/>
          <w:color w:val="333333"/>
          <w:kern w:val="0"/>
          <w:szCs w:val="21"/>
        </w:rPr>
      </w:pPr>
      <w:r>
        <w:rPr>
          <w:rFonts w:hint="eastAsia" w:ascii="仿宋" w:hAnsi="仿宋" w:eastAsia="仿宋" w:cs="仿宋"/>
          <w:color w:val="333333"/>
          <w:kern w:val="0"/>
          <w:sz w:val="32"/>
          <w:szCs w:val="32"/>
        </w:rPr>
        <w:t>赣市府办发〔</w:t>
      </w:r>
      <w:r>
        <w:rPr>
          <w:rFonts w:hint="eastAsia" w:ascii="仿宋" w:hAnsi="仿宋" w:eastAsia="仿宋" w:cs="仿宋"/>
          <w:color w:val="333333"/>
          <w:kern w:val="0"/>
          <w:sz w:val="32"/>
          <w:szCs w:val="32"/>
        </w:rPr>
        <w:t>2021</w:t>
      </w:r>
      <w:r>
        <w:rPr>
          <w:rFonts w:hint="eastAsia" w:ascii="仿宋" w:hAnsi="仿宋" w:eastAsia="仿宋" w:cs="仿宋"/>
          <w:color w:val="333333"/>
          <w:kern w:val="0"/>
          <w:sz w:val="32"/>
          <w:szCs w:val="32"/>
        </w:rPr>
        <w:t>〕</w:t>
      </w:r>
      <w:r>
        <w:rPr>
          <w:rFonts w:hint="eastAsia" w:ascii="仿宋" w:hAnsi="仿宋" w:eastAsia="仿宋" w:cs="仿宋"/>
          <w:color w:val="333333"/>
          <w:kern w:val="0"/>
          <w:sz w:val="32"/>
          <w:szCs w:val="32"/>
        </w:rPr>
        <w:t>16</w:t>
      </w:r>
      <w:r>
        <w:rPr>
          <w:rFonts w:hint="eastAsia" w:ascii="仿宋" w:hAnsi="仿宋" w:eastAsia="仿宋" w:cs="仿宋"/>
          <w:color w:val="333333"/>
          <w:kern w:val="0"/>
          <w:sz w:val="32"/>
          <w:szCs w:val="32"/>
        </w:rPr>
        <w:t>号</w:t>
      </w:r>
    </w:p>
    <w:p>
      <w:pPr>
        <w:widowControl/>
        <w:shd w:val="clear" w:color="auto" w:fill="FFFFFF"/>
        <w:spacing w:line="540" w:lineRule="atLeast"/>
        <w:ind w:firstLine="640"/>
        <w:rPr>
          <w:rFonts w:hint="eastAsia" w:ascii="仿宋" w:hAnsi="仿宋" w:eastAsia="仿宋" w:cs="仿宋"/>
          <w:color w:val="333333"/>
          <w:kern w:val="0"/>
          <w:szCs w:val="21"/>
        </w:rPr>
      </w:pPr>
      <w:r>
        <w:rPr>
          <w:rFonts w:hint="eastAsia" w:ascii="仿宋" w:hAnsi="仿宋" w:eastAsia="仿宋" w:cs="仿宋"/>
          <w:color w:val="333333"/>
          <w:kern w:val="0"/>
          <w:sz w:val="32"/>
          <w:szCs w:val="32"/>
        </w:rPr>
        <w:t> </w:t>
      </w:r>
    </w:p>
    <w:p>
      <w:pPr>
        <w:widowControl/>
        <w:shd w:val="clear" w:color="auto" w:fill="FFFFFF"/>
        <w:spacing w:line="540" w:lineRule="atLeast"/>
        <w:ind w:firstLine="880"/>
        <w:rPr>
          <w:rFonts w:hint="eastAsia" w:ascii="仿宋" w:hAnsi="仿宋" w:eastAsia="仿宋" w:cs="仿宋"/>
          <w:color w:val="333333"/>
          <w:kern w:val="0"/>
          <w:szCs w:val="21"/>
        </w:rPr>
      </w:pPr>
      <w:r>
        <w:rPr>
          <w:rFonts w:hint="eastAsia" w:ascii="仿宋" w:hAnsi="仿宋" w:eastAsia="仿宋" w:cs="仿宋"/>
          <w:color w:val="333333"/>
          <w:kern w:val="0"/>
          <w:sz w:val="44"/>
          <w:szCs w:val="44"/>
        </w:rPr>
        <w:t> </w:t>
      </w:r>
    </w:p>
    <w:p>
      <w:pPr>
        <w:widowControl/>
        <w:shd w:val="clear" w:color="auto" w:fill="FFFFFF"/>
        <w:spacing w:line="500" w:lineRule="atLeast"/>
        <w:jc w:val="center"/>
        <w:rPr>
          <w:rFonts w:hint="eastAsia" w:ascii="仿宋" w:hAnsi="仿宋" w:eastAsia="仿宋" w:cs="仿宋"/>
          <w:color w:val="333333"/>
          <w:kern w:val="0"/>
          <w:szCs w:val="21"/>
        </w:rPr>
      </w:pPr>
      <w:r>
        <w:rPr>
          <w:rFonts w:hint="eastAsia" w:ascii="仿宋" w:hAnsi="仿宋" w:eastAsia="仿宋" w:cs="仿宋"/>
          <w:color w:val="333333"/>
          <w:kern w:val="0"/>
          <w:sz w:val="44"/>
          <w:szCs w:val="44"/>
        </w:rPr>
        <w:t>赣州市人民政府办公室关于</w:t>
      </w:r>
    </w:p>
    <w:p>
      <w:pPr>
        <w:widowControl/>
        <w:shd w:val="clear" w:color="auto" w:fill="FFFFFF"/>
        <w:spacing w:line="500" w:lineRule="atLeast"/>
        <w:jc w:val="center"/>
        <w:rPr>
          <w:rFonts w:hint="eastAsia" w:ascii="仿宋" w:hAnsi="仿宋" w:eastAsia="仿宋" w:cs="仿宋"/>
          <w:color w:val="333333"/>
          <w:kern w:val="0"/>
          <w:szCs w:val="21"/>
        </w:rPr>
      </w:pPr>
      <w:r>
        <w:rPr>
          <w:rFonts w:hint="eastAsia" w:ascii="仿宋" w:hAnsi="仿宋" w:eastAsia="仿宋" w:cs="仿宋"/>
          <w:color w:val="333333"/>
          <w:kern w:val="0"/>
          <w:sz w:val="44"/>
          <w:szCs w:val="44"/>
        </w:rPr>
        <w:t>印发《赣州市社会救助对象认定办法</w:t>
      </w:r>
    </w:p>
    <w:p>
      <w:pPr>
        <w:widowControl/>
        <w:shd w:val="clear" w:color="auto" w:fill="FFFFFF"/>
        <w:spacing w:line="500" w:lineRule="atLeast"/>
        <w:jc w:val="center"/>
        <w:rPr>
          <w:rFonts w:hint="eastAsia" w:ascii="仿宋" w:hAnsi="仿宋" w:eastAsia="仿宋" w:cs="仿宋"/>
          <w:color w:val="333333"/>
          <w:kern w:val="0"/>
          <w:szCs w:val="21"/>
        </w:rPr>
      </w:pPr>
      <w:r>
        <w:rPr>
          <w:rFonts w:hint="eastAsia" w:ascii="仿宋" w:hAnsi="仿宋" w:eastAsia="仿宋" w:cs="仿宋"/>
          <w:color w:val="333333"/>
          <w:kern w:val="0"/>
          <w:sz w:val="44"/>
          <w:szCs w:val="44"/>
        </w:rPr>
        <w:t>（暂行）》的通知</w:t>
      </w:r>
    </w:p>
    <w:p>
      <w:pPr>
        <w:widowControl/>
        <w:shd w:val="clear" w:color="auto" w:fill="FFFFFF"/>
        <w:spacing w:line="400" w:lineRule="atLeast"/>
        <w:rPr>
          <w:rFonts w:hint="eastAsia" w:ascii="仿宋" w:hAnsi="仿宋" w:eastAsia="仿宋" w:cs="仿宋"/>
          <w:color w:val="333333"/>
          <w:kern w:val="0"/>
          <w:szCs w:val="21"/>
        </w:rPr>
      </w:pPr>
      <w:r>
        <w:rPr>
          <w:rFonts w:hint="eastAsia" w:ascii="仿宋" w:hAnsi="仿宋" w:eastAsia="仿宋" w:cs="仿宋"/>
          <w:color w:val="333333"/>
          <w:kern w:val="0"/>
          <w:sz w:val="44"/>
          <w:szCs w:val="44"/>
        </w:rPr>
        <w:t> </w:t>
      </w:r>
    </w:p>
    <w:p>
      <w:pPr>
        <w:widowControl/>
        <w:shd w:val="clear" w:color="auto" w:fill="FFFFFF"/>
        <w:spacing w:line="500" w:lineRule="atLeast"/>
        <w:rPr>
          <w:rFonts w:hint="eastAsia" w:ascii="仿宋" w:hAnsi="仿宋" w:eastAsia="仿宋" w:cs="仿宋"/>
          <w:color w:val="333333"/>
          <w:kern w:val="0"/>
          <w:szCs w:val="21"/>
        </w:rPr>
      </w:pPr>
      <w:r>
        <w:rPr>
          <w:rFonts w:hint="eastAsia" w:ascii="仿宋" w:hAnsi="仿宋" w:eastAsia="仿宋" w:cs="仿宋"/>
          <w:color w:val="333333"/>
          <w:kern w:val="0"/>
          <w:sz w:val="32"/>
          <w:szCs w:val="32"/>
        </w:rPr>
        <w:t>各县（市、区）人民政府，市政府有关部门，市属、驻市有关单位：</w:t>
      </w:r>
    </w:p>
    <w:p>
      <w:pPr>
        <w:widowControl/>
        <w:shd w:val="clear" w:color="auto" w:fill="FFFFFF"/>
        <w:spacing w:line="500" w:lineRule="atLeast"/>
        <w:ind w:firstLine="640"/>
        <w:rPr>
          <w:rFonts w:hint="eastAsia" w:ascii="仿宋" w:hAnsi="仿宋" w:eastAsia="仿宋" w:cs="仿宋"/>
          <w:color w:val="333333"/>
          <w:kern w:val="0"/>
          <w:szCs w:val="21"/>
        </w:rPr>
      </w:pPr>
      <w:r>
        <w:rPr>
          <w:rFonts w:hint="eastAsia" w:ascii="仿宋" w:hAnsi="仿宋" w:eastAsia="仿宋" w:cs="仿宋"/>
          <w:color w:val="333333"/>
          <w:kern w:val="0"/>
          <w:sz w:val="32"/>
          <w:szCs w:val="32"/>
        </w:rPr>
        <w:t>《赣州市社会救助对象认定办法（暂行）》已经</w:t>
      </w:r>
      <w:r>
        <w:rPr>
          <w:rFonts w:hint="eastAsia" w:ascii="仿宋" w:hAnsi="仿宋" w:eastAsia="仿宋" w:cs="仿宋"/>
          <w:color w:val="333333"/>
          <w:kern w:val="0"/>
          <w:sz w:val="32"/>
          <w:szCs w:val="32"/>
        </w:rPr>
        <w:t>2021</w:t>
      </w:r>
      <w:r>
        <w:rPr>
          <w:rFonts w:hint="eastAsia" w:ascii="仿宋" w:hAnsi="仿宋" w:eastAsia="仿宋" w:cs="仿宋"/>
          <w:color w:val="333333"/>
          <w:kern w:val="0"/>
          <w:sz w:val="32"/>
          <w:szCs w:val="32"/>
        </w:rPr>
        <w:t>年</w:t>
      </w:r>
      <w:r>
        <w:rPr>
          <w:rFonts w:hint="eastAsia" w:ascii="仿宋" w:hAnsi="仿宋" w:eastAsia="仿宋" w:cs="仿宋"/>
          <w:color w:val="333333"/>
          <w:kern w:val="0"/>
          <w:sz w:val="32"/>
          <w:szCs w:val="32"/>
        </w:rPr>
        <w:t>11</w:t>
      </w:r>
      <w:r>
        <w:rPr>
          <w:rFonts w:hint="eastAsia" w:ascii="仿宋" w:hAnsi="仿宋" w:eastAsia="仿宋" w:cs="仿宋"/>
          <w:color w:val="333333"/>
          <w:kern w:val="0"/>
          <w:sz w:val="32"/>
          <w:szCs w:val="32"/>
        </w:rPr>
        <w:t>月</w:t>
      </w:r>
      <w:r>
        <w:rPr>
          <w:rFonts w:hint="eastAsia" w:ascii="仿宋" w:hAnsi="仿宋" w:eastAsia="仿宋" w:cs="仿宋"/>
          <w:color w:val="333333"/>
          <w:kern w:val="0"/>
          <w:sz w:val="32"/>
          <w:szCs w:val="32"/>
        </w:rPr>
        <w:t>19</w:t>
      </w:r>
      <w:r>
        <w:rPr>
          <w:rFonts w:hint="eastAsia" w:ascii="仿宋" w:hAnsi="仿宋" w:eastAsia="仿宋" w:cs="仿宋"/>
          <w:color w:val="333333"/>
          <w:kern w:val="0"/>
          <w:sz w:val="32"/>
          <w:szCs w:val="32"/>
        </w:rPr>
        <w:t>日市政府第</w:t>
      </w:r>
      <w:r>
        <w:rPr>
          <w:rFonts w:hint="eastAsia" w:ascii="仿宋" w:hAnsi="仿宋" w:eastAsia="仿宋" w:cs="仿宋"/>
          <w:color w:val="333333"/>
          <w:kern w:val="0"/>
          <w:sz w:val="32"/>
          <w:szCs w:val="32"/>
        </w:rPr>
        <w:t>2</w:t>
      </w:r>
      <w:r>
        <w:rPr>
          <w:rFonts w:hint="eastAsia" w:ascii="仿宋" w:hAnsi="仿宋" w:eastAsia="仿宋" w:cs="仿宋"/>
          <w:color w:val="333333"/>
          <w:kern w:val="0"/>
          <w:sz w:val="32"/>
          <w:szCs w:val="32"/>
        </w:rPr>
        <w:t>次常务会议审议通过，现印发给你们，请遵照执行。</w:t>
      </w:r>
    </w:p>
    <w:p>
      <w:pPr>
        <w:widowControl/>
        <w:shd w:val="clear" w:color="auto" w:fill="FFFFFF"/>
        <w:spacing w:line="480" w:lineRule="atLeast"/>
        <w:rPr>
          <w:rFonts w:hint="eastAsia" w:ascii="仿宋" w:hAnsi="仿宋" w:eastAsia="仿宋" w:cs="仿宋"/>
          <w:color w:val="333333"/>
          <w:kern w:val="0"/>
          <w:szCs w:val="21"/>
        </w:rPr>
      </w:pPr>
      <w:r>
        <w:rPr>
          <w:rFonts w:hint="eastAsia" w:ascii="仿宋" w:hAnsi="仿宋" w:eastAsia="仿宋" w:cs="仿宋"/>
          <w:color w:val="333333"/>
          <w:kern w:val="0"/>
          <w:sz w:val="32"/>
          <w:szCs w:val="32"/>
        </w:rPr>
        <w:t> </w:t>
      </w:r>
    </w:p>
    <w:p>
      <w:pPr>
        <w:widowControl/>
        <w:shd w:val="clear" w:color="auto" w:fill="FFFFFF"/>
        <w:spacing w:line="480" w:lineRule="atLeast"/>
        <w:rPr>
          <w:rFonts w:hint="eastAsia" w:ascii="仿宋" w:hAnsi="仿宋" w:eastAsia="仿宋" w:cs="仿宋"/>
          <w:color w:val="333333"/>
          <w:kern w:val="0"/>
          <w:szCs w:val="21"/>
        </w:rPr>
      </w:pPr>
      <w:r>
        <w:rPr>
          <w:rFonts w:hint="eastAsia" w:ascii="仿宋" w:hAnsi="仿宋" w:eastAsia="仿宋" w:cs="仿宋"/>
          <w:color w:val="333333"/>
          <w:kern w:val="0"/>
          <w:sz w:val="32"/>
          <w:szCs w:val="32"/>
        </w:rPr>
        <w:t> </w:t>
      </w:r>
    </w:p>
    <w:p>
      <w:pPr>
        <w:widowControl/>
        <w:shd w:val="clear" w:color="auto" w:fill="FFFFFF"/>
        <w:spacing w:line="480" w:lineRule="atLeast"/>
        <w:rPr>
          <w:rFonts w:hint="eastAsia" w:ascii="仿宋" w:hAnsi="仿宋" w:eastAsia="仿宋" w:cs="仿宋"/>
          <w:color w:val="333333"/>
          <w:kern w:val="0"/>
          <w:szCs w:val="21"/>
        </w:rPr>
      </w:pPr>
      <w:r>
        <w:rPr>
          <w:rFonts w:hint="eastAsia" w:ascii="仿宋" w:hAnsi="仿宋" w:eastAsia="仿宋" w:cs="仿宋"/>
          <w:color w:val="333333"/>
          <w:kern w:val="0"/>
          <w:sz w:val="32"/>
          <w:szCs w:val="32"/>
        </w:rPr>
        <w:t> </w:t>
      </w:r>
    </w:p>
    <w:p>
      <w:pPr>
        <w:widowControl/>
        <w:shd w:val="clear" w:color="auto" w:fill="FFFFFF"/>
        <w:spacing w:line="480" w:lineRule="atLeast"/>
        <w:rPr>
          <w:rFonts w:hint="eastAsia" w:ascii="仿宋" w:hAnsi="仿宋" w:eastAsia="仿宋" w:cs="仿宋"/>
          <w:color w:val="333333"/>
          <w:kern w:val="0"/>
          <w:szCs w:val="21"/>
        </w:rPr>
      </w:pPr>
      <w:r>
        <w:rPr>
          <w:rFonts w:hint="eastAsia" w:ascii="仿宋" w:hAnsi="仿宋" w:eastAsia="仿宋" w:cs="仿宋"/>
          <w:color w:val="333333"/>
          <w:kern w:val="0"/>
          <w:sz w:val="32"/>
          <w:szCs w:val="32"/>
        </w:rPr>
        <w:t> </w:t>
      </w:r>
    </w:p>
    <w:p>
      <w:pPr>
        <w:widowControl/>
        <w:shd w:val="clear" w:color="auto" w:fill="FFFFFF"/>
        <w:spacing w:line="480" w:lineRule="atLeast"/>
        <w:ind w:left="4485" w:right="1218" w:hanging="3840"/>
        <w:rPr>
          <w:rFonts w:hint="eastAsia" w:ascii="仿宋" w:hAnsi="仿宋" w:eastAsia="仿宋" w:cs="仿宋"/>
          <w:color w:val="333333"/>
          <w:kern w:val="0"/>
          <w:szCs w:val="21"/>
        </w:rPr>
      </w:pPr>
      <w:r>
        <w:rPr>
          <w:rFonts w:hint="eastAsia" w:ascii="仿宋" w:hAnsi="仿宋" w:eastAsia="仿宋" w:cs="仿宋"/>
          <w:color w:val="333333"/>
          <w:kern w:val="0"/>
          <w:sz w:val="32"/>
          <w:szCs w:val="32"/>
        </w:rPr>
        <w:t>                       </w:t>
      </w:r>
      <w:r>
        <w:rPr>
          <w:rFonts w:hint="eastAsia" w:ascii="仿宋" w:hAnsi="仿宋" w:eastAsia="仿宋" w:cs="仿宋"/>
          <w:color w:val="333333"/>
          <w:spacing w:val="40"/>
          <w:kern w:val="0"/>
          <w:sz w:val="32"/>
          <w:szCs w:val="32"/>
        </w:rPr>
        <w:t>2021</w:t>
      </w:r>
      <w:r>
        <w:rPr>
          <w:rFonts w:hint="eastAsia" w:ascii="仿宋" w:hAnsi="仿宋" w:eastAsia="仿宋" w:cs="仿宋"/>
          <w:color w:val="333333"/>
          <w:spacing w:val="40"/>
          <w:kern w:val="0"/>
          <w:sz w:val="32"/>
          <w:szCs w:val="32"/>
        </w:rPr>
        <w:t>年</w:t>
      </w:r>
      <w:r>
        <w:rPr>
          <w:rFonts w:hint="eastAsia" w:ascii="仿宋" w:hAnsi="仿宋" w:eastAsia="仿宋" w:cs="仿宋"/>
          <w:color w:val="333333"/>
          <w:spacing w:val="40"/>
          <w:kern w:val="0"/>
          <w:sz w:val="32"/>
          <w:szCs w:val="32"/>
        </w:rPr>
        <w:t>11</w:t>
      </w:r>
      <w:r>
        <w:rPr>
          <w:rFonts w:hint="eastAsia" w:ascii="仿宋" w:hAnsi="仿宋" w:eastAsia="仿宋" w:cs="仿宋"/>
          <w:color w:val="333333"/>
          <w:spacing w:val="40"/>
          <w:kern w:val="0"/>
          <w:sz w:val="32"/>
          <w:szCs w:val="32"/>
        </w:rPr>
        <w:t>月</w:t>
      </w:r>
      <w:r>
        <w:rPr>
          <w:rFonts w:hint="eastAsia" w:ascii="仿宋" w:hAnsi="仿宋" w:eastAsia="仿宋" w:cs="仿宋"/>
          <w:color w:val="333333"/>
          <w:spacing w:val="40"/>
          <w:kern w:val="0"/>
          <w:sz w:val="32"/>
          <w:szCs w:val="32"/>
        </w:rPr>
        <w:t>25</w:t>
      </w:r>
      <w:r>
        <w:rPr>
          <w:rFonts w:hint="eastAsia" w:ascii="仿宋" w:hAnsi="仿宋" w:eastAsia="仿宋" w:cs="仿宋"/>
          <w:color w:val="333333"/>
          <w:spacing w:val="40"/>
          <w:kern w:val="0"/>
          <w:sz w:val="32"/>
          <w:szCs w:val="32"/>
        </w:rPr>
        <w:t>日</w:t>
      </w:r>
    </w:p>
    <w:p>
      <w:pPr>
        <w:widowControl/>
        <w:shd w:val="clear" w:color="auto" w:fill="FFFFFF"/>
        <w:spacing w:line="400" w:lineRule="atLeast"/>
        <w:ind w:firstLine="640"/>
        <w:rPr>
          <w:rFonts w:hint="eastAsia" w:ascii="仿宋" w:hAnsi="仿宋" w:eastAsia="仿宋" w:cs="仿宋"/>
          <w:color w:val="333333"/>
          <w:kern w:val="0"/>
          <w:szCs w:val="21"/>
        </w:rPr>
      </w:pPr>
      <w:r>
        <w:rPr>
          <w:rFonts w:hint="eastAsia" w:ascii="仿宋" w:hAnsi="仿宋" w:eastAsia="仿宋" w:cs="仿宋"/>
          <w:color w:val="333333"/>
          <w:kern w:val="0"/>
          <w:sz w:val="32"/>
          <w:szCs w:val="32"/>
        </w:rPr>
        <w:t>（此件主动公开）</w:t>
      </w:r>
    </w:p>
    <w:p>
      <w:pPr>
        <w:widowControl/>
        <w:shd w:val="clear" w:color="auto" w:fill="FFFFFF"/>
        <w:spacing w:before="225" w:after="225"/>
        <w:jc w:val="left"/>
        <w:rPr>
          <w:rFonts w:hint="eastAsia" w:ascii="仿宋" w:hAnsi="仿宋" w:eastAsia="仿宋" w:cs="仿宋"/>
          <w:color w:val="333333"/>
          <w:kern w:val="0"/>
          <w:sz w:val="27"/>
          <w:szCs w:val="27"/>
          <w:lang w:eastAsia="zh-CN"/>
        </w:rPr>
      </w:pPr>
    </w:p>
    <w:p>
      <w:pPr>
        <w:widowControl/>
        <w:shd w:val="clear" w:color="auto" w:fill="FFFFFF"/>
        <w:spacing w:before="225" w:after="225"/>
        <w:jc w:val="left"/>
        <w:rPr>
          <w:rFonts w:hint="eastAsia" w:ascii="仿宋" w:hAnsi="仿宋" w:eastAsia="仿宋" w:cs="仿宋"/>
          <w:color w:val="333333"/>
          <w:kern w:val="0"/>
          <w:sz w:val="27"/>
          <w:szCs w:val="27"/>
          <w:lang w:eastAsia="zh-CN"/>
        </w:rPr>
      </w:pPr>
    </w:p>
    <w:p>
      <w:pPr>
        <w:widowControl/>
        <w:shd w:val="clear" w:color="auto" w:fill="FFFFFF"/>
        <w:spacing w:line="520" w:lineRule="atLeast"/>
        <w:jc w:val="center"/>
        <w:rPr>
          <w:rFonts w:hint="eastAsia" w:ascii="仿宋" w:hAnsi="仿宋" w:eastAsia="仿宋" w:cs="仿宋"/>
          <w:color w:val="333333"/>
          <w:kern w:val="0"/>
          <w:szCs w:val="21"/>
        </w:rPr>
      </w:pPr>
      <w:r>
        <w:rPr>
          <w:rFonts w:hint="eastAsia" w:ascii="仿宋" w:hAnsi="仿宋" w:eastAsia="仿宋" w:cs="仿宋"/>
          <w:color w:val="333333"/>
          <w:kern w:val="0"/>
          <w:sz w:val="44"/>
          <w:szCs w:val="44"/>
        </w:rPr>
        <w:t>赣州市社会救助对象认定办法（暂行）</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 </w:t>
      </w:r>
    </w:p>
    <w:p>
      <w:pPr>
        <w:widowControl/>
        <w:shd w:val="clear" w:color="auto" w:fill="FFFFFF"/>
        <w:spacing w:line="520" w:lineRule="atLeast"/>
        <w:jc w:val="center"/>
        <w:rPr>
          <w:rFonts w:hint="eastAsia" w:ascii="仿宋" w:hAnsi="仿宋" w:eastAsia="仿宋" w:cs="仿宋"/>
          <w:color w:val="333333"/>
          <w:kern w:val="0"/>
          <w:szCs w:val="21"/>
        </w:rPr>
      </w:pPr>
      <w:r>
        <w:rPr>
          <w:rFonts w:hint="eastAsia" w:ascii="仿宋" w:hAnsi="仿宋" w:eastAsia="仿宋" w:cs="仿宋"/>
          <w:color w:val="333333"/>
          <w:kern w:val="0"/>
          <w:sz w:val="32"/>
          <w:szCs w:val="32"/>
        </w:rPr>
        <w:t>第一章</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总</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则</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第一条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根据国务院《社会救助暂行办法》（国务院令第</w:t>
      </w:r>
      <w:r>
        <w:rPr>
          <w:rFonts w:hint="eastAsia" w:ascii="仿宋" w:hAnsi="仿宋" w:eastAsia="仿宋" w:cs="仿宋"/>
          <w:color w:val="333333"/>
          <w:kern w:val="0"/>
          <w:sz w:val="32"/>
          <w:szCs w:val="32"/>
        </w:rPr>
        <w:t>649</w:t>
      </w:r>
      <w:r>
        <w:rPr>
          <w:rFonts w:hint="eastAsia" w:ascii="仿宋" w:hAnsi="仿宋" w:eastAsia="仿宋" w:cs="仿宋"/>
          <w:color w:val="333333"/>
          <w:kern w:val="0"/>
          <w:sz w:val="32"/>
          <w:szCs w:val="32"/>
        </w:rPr>
        <w:t>号），中共中央办公厅、国务院办公厅《关于改革完善社会救助制度的意见》（中办发〔</w:t>
      </w:r>
      <w:r>
        <w:rPr>
          <w:rFonts w:hint="eastAsia" w:ascii="仿宋" w:hAnsi="仿宋" w:eastAsia="仿宋" w:cs="仿宋"/>
          <w:color w:val="333333"/>
          <w:kern w:val="0"/>
          <w:sz w:val="32"/>
          <w:szCs w:val="32"/>
        </w:rPr>
        <w:t>2020</w:t>
      </w:r>
      <w:r>
        <w:rPr>
          <w:rFonts w:hint="eastAsia" w:ascii="仿宋" w:hAnsi="仿宋" w:eastAsia="仿宋" w:cs="仿宋"/>
          <w:color w:val="333333"/>
          <w:kern w:val="0"/>
          <w:sz w:val="32"/>
          <w:szCs w:val="32"/>
        </w:rPr>
        <w:t>〕</w:t>
      </w:r>
      <w:r>
        <w:rPr>
          <w:rFonts w:hint="eastAsia" w:ascii="仿宋" w:hAnsi="仿宋" w:eastAsia="仿宋" w:cs="仿宋"/>
          <w:color w:val="333333"/>
          <w:kern w:val="0"/>
          <w:sz w:val="32"/>
          <w:szCs w:val="32"/>
        </w:rPr>
        <w:t>18</w:t>
      </w:r>
      <w:r>
        <w:rPr>
          <w:rFonts w:hint="eastAsia" w:ascii="仿宋" w:hAnsi="仿宋" w:eastAsia="仿宋" w:cs="仿宋"/>
          <w:color w:val="333333"/>
          <w:kern w:val="0"/>
          <w:sz w:val="32"/>
          <w:szCs w:val="32"/>
        </w:rPr>
        <w:t>号），民政部《特困人员认定办法》（民发〔</w:t>
      </w:r>
      <w:r>
        <w:rPr>
          <w:rFonts w:hint="eastAsia" w:ascii="仿宋" w:hAnsi="仿宋" w:eastAsia="仿宋" w:cs="仿宋"/>
          <w:color w:val="333333"/>
          <w:kern w:val="0"/>
          <w:sz w:val="32"/>
          <w:szCs w:val="32"/>
        </w:rPr>
        <w:t>2021</w:t>
      </w:r>
      <w:r>
        <w:rPr>
          <w:rFonts w:hint="eastAsia" w:ascii="仿宋" w:hAnsi="仿宋" w:eastAsia="仿宋" w:cs="仿宋"/>
          <w:color w:val="333333"/>
          <w:kern w:val="0"/>
          <w:sz w:val="32"/>
          <w:szCs w:val="32"/>
        </w:rPr>
        <w:t>〕</w:t>
      </w:r>
      <w:r>
        <w:rPr>
          <w:rFonts w:hint="eastAsia" w:ascii="仿宋" w:hAnsi="仿宋" w:eastAsia="仿宋" w:cs="仿宋"/>
          <w:color w:val="333333"/>
          <w:kern w:val="0"/>
          <w:sz w:val="32"/>
          <w:szCs w:val="32"/>
        </w:rPr>
        <w:t>43</w:t>
      </w:r>
      <w:r>
        <w:rPr>
          <w:rFonts w:hint="eastAsia" w:ascii="仿宋" w:hAnsi="仿宋" w:eastAsia="仿宋" w:cs="仿宋"/>
          <w:color w:val="333333"/>
          <w:kern w:val="0"/>
          <w:sz w:val="32"/>
          <w:szCs w:val="32"/>
        </w:rPr>
        <w:t>号）、《最低生活保障审核确认办法》（民发〔</w:t>
      </w:r>
      <w:r>
        <w:rPr>
          <w:rFonts w:hint="eastAsia" w:ascii="仿宋" w:hAnsi="仿宋" w:eastAsia="仿宋" w:cs="仿宋"/>
          <w:color w:val="333333"/>
          <w:kern w:val="0"/>
          <w:sz w:val="32"/>
          <w:szCs w:val="32"/>
        </w:rPr>
        <w:t>2021</w:t>
      </w:r>
      <w:r>
        <w:rPr>
          <w:rFonts w:hint="eastAsia" w:ascii="仿宋" w:hAnsi="仿宋" w:eastAsia="仿宋" w:cs="仿宋"/>
          <w:color w:val="333333"/>
          <w:kern w:val="0"/>
          <w:sz w:val="32"/>
          <w:szCs w:val="32"/>
        </w:rPr>
        <w:t>〕</w:t>
      </w:r>
      <w:r>
        <w:rPr>
          <w:rFonts w:hint="eastAsia" w:ascii="仿宋" w:hAnsi="仿宋" w:eastAsia="仿宋" w:cs="仿宋"/>
          <w:color w:val="333333"/>
          <w:kern w:val="0"/>
          <w:sz w:val="32"/>
          <w:szCs w:val="32"/>
        </w:rPr>
        <w:t>57</w:t>
      </w:r>
      <w:r>
        <w:rPr>
          <w:rFonts w:hint="eastAsia" w:ascii="仿宋" w:hAnsi="仿宋" w:eastAsia="仿宋" w:cs="仿宋"/>
          <w:color w:val="333333"/>
          <w:kern w:val="0"/>
          <w:sz w:val="32"/>
          <w:szCs w:val="32"/>
        </w:rPr>
        <w:t>号），中共江西省委办公厅、江西省人民政府办公厅《关于改革完善社会救助制度的意见》（赣办发〔</w:t>
      </w:r>
      <w:r>
        <w:rPr>
          <w:rFonts w:hint="eastAsia" w:ascii="仿宋" w:hAnsi="仿宋" w:eastAsia="仿宋" w:cs="仿宋"/>
          <w:color w:val="333333"/>
          <w:kern w:val="0"/>
          <w:sz w:val="32"/>
          <w:szCs w:val="32"/>
        </w:rPr>
        <w:t>2020</w:t>
      </w:r>
      <w:r>
        <w:rPr>
          <w:rFonts w:hint="eastAsia" w:ascii="仿宋" w:hAnsi="仿宋" w:eastAsia="仿宋" w:cs="仿宋"/>
          <w:color w:val="333333"/>
          <w:kern w:val="0"/>
          <w:sz w:val="32"/>
          <w:szCs w:val="32"/>
        </w:rPr>
        <w:t>〕</w:t>
      </w:r>
      <w:r>
        <w:rPr>
          <w:rFonts w:hint="eastAsia" w:ascii="仿宋" w:hAnsi="仿宋" w:eastAsia="仿宋" w:cs="仿宋"/>
          <w:color w:val="333333"/>
          <w:kern w:val="0"/>
          <w:sz w:val="32"/>
          <w:szCs w:val="32"/>
        </w:rPr>
        <w:t>34</w:t>
      </w:r>
      <w:r>
        <w:rPr>
          <w:rFonts w:hint="eastAsia" w:ascii="仿宋" w:hAnsi="仿宋" w:eastAsia="仿宋" w:cs="仿宋"/>
          <w:color w:val="333333"/>
          <w:kern w:val="0"/>
          <w:sz w:val="32"/>
          <w:szCs w:val="32"/>
        </w:rPr>
        <w:t>号），江西省民政厅《江西省最低生活保障操作规程》（赣民发〔</w:t>
      </w:r>
      <w:r>
        <w:rPr>
          <w:rFonts w:hint="eastAsia" w:ascii="仿宋" w:hAnsi="仿宋" w:eastAsia="仿宋" w:cs="仿宋"/>
          <w:color w:val="333333"/>
          <w:kern w:val="0"/>
          <w:sz w:val="32"/>
          <w:szCs w:val="32"/>
        </w:rPr>
        <w:t>2020</w:t>
      </w:r>
      <w:r>
        <w:rPr>
          <w:rFonts w:hint="eastAsia" w:ascii="仿宋" w:hAnsi="仿宋" w:eastAsia="仿宋" w:cs="仿宋"/>
          <w:color w:val="333333"/>
          <w:kern w:val="0"/>
          <w:sz w:val="32"/>
          <w:szCs w:val="32"/>
        </w:rPr>
        <w:t>〕</w:t>
      </w:r>
      <w:r>
        <w:rPr>
          <w:rFonts w:hint="eastAsia" w:ascii="仿宋" w:hAnsi="仿宋" w:eastAsia="仿宋" w:cs="仿宋"/>
          <w:color w:val="333333"/>
          <w:kern w:val="0"/>
          <w:sz w:val="32"/>
          <w:szCs w:val="32"/>
        </w:rPr>
        <w:t>7</w:t>
      </w:r>
      <w:r>
        <w:rPr>
          <w:rFonts w:hint="eastAsia" w:ascii="仿宋" w:hAnsi="仿宋" w:eastAsia="仿宋" w:cs="仿宋"/>
          <w:color w:val="333333"/>
          <w:kern w:val="0"/>
          <w:sz w:val="32"/>
          <w:szCs w:val="32"/>
        </w:rPr>
        <w:t>号）、江西省民政厅等</w:t>
      </w:r>
      <w:r>
        <w:rPr>
          <w:rFonts w:hint="eastAsia" w:ascii="仿宋" w:hAnsi="仿宋" w:eastAsia="仿宋" w:cs="仿宋"/>
          <w:color w:val="333333"/>
          <w:kern w:val="0"/>
          <w:sz w:val="32"/>
          <w:szCs w:val="32"/>
        </w:rPr>
        <w:t>6</w:t>
      </w:r>
      <w:r>
        <w:rPr>
          <w:rFonts w:hint="eastAsia" w:ascii="仿宋" w:hAnsi="仿宋" w:eastAsia="仿宋" w:cs="仿宋"/>
          <w:color w:val="333333"/>
          <w:kern w:val="0"/>
          <w:sz w:val="32"/>
          <w:szCs w:val="32"/>
        </w:rPr>
        <w:t>部门印发的《江西省支出型贫困低收入家庭认定办法》</w:t>
      </w:r>
      <w:r>
        <w:rPr>
          <w:rFonts w:hint="eastAsia" w:ascii="仿宋" w:hAnsi="仿宋" w:eastAsia="仿宋" w:cs="仿宋"/>
          <w:color w:val="333333"/>
          <w:kern w:val="0"/>
          <w:sz w:val="32"/>
          <w:szCs w:val="32"/>
        </w:rPr>
        <w:t>(</w:t>
      </w:r>
      <w:r>
        <w:rPr>
          <w:rFonts w:hint="eastAsia" w:ascii="仿宋" w:hAnsi="仿宋" w:eastAsia="仿宋" w:cs="仿宋"/>
          <w:color w:val="333333"/>
          <w:kern w:val="0"/>
          <w:sz w:val="32"/>
          <w:szCs w:val="32"/>
        </w:rPr>
        <w:t>赣民字〔</w:t>
      </w:r>
      <w:r>
        <w:rPr>
          <w:rFonts w:hint="eastAsia" w:ascii="仿宋" w:hAnsi="仿宋" w:eastAsia="仿宋" w:cs="仿宋"/>
          <w:color w:val="333333"/>
          <w:kern w:val="0"/>
          <w:sz w:val="32"/>
          <w:szCs w:val="32"/>
        </w:rPr>
        <w:t>2020</w:t>
      </w:r>
      <w:r>
        <w:rPr>
          <w:rFonts w:hint="eastAsia" w:ascii="仿宋" w:hAnsi="仿宋" w:eastAsia="仿宋" w:cs="仿宋"/>
          <w:color w:val="333333"/>
          <w:kern w:val="0"/>
          <w:sz w:val="32"/>
          <w:szCs w:val="32"/>
        </w:rPr>
        <w:t>〕</w:t>
      </w:r>
      <w:r>
        <w:rPr>
          <w:rFonts w:hint="eastAsia" w:ascii="仿宋" w:hAnsi="仿宋" w:eastAsia="仿宋" w:cs="仿宋"/>
          <w:color w:val="333333"/>
          <w:kern w:val="0"/>
          <w:sz w:val="32"/>
          <w:szCs w:val="32"/>
        </w:rPr>
        <w:t>3</w:t>
      </w:r>
      <w:r>
        <w:rPr>
          <w:rFonts w:hint="eastAsia" w:ascii="仿宋" w:hAnsi="仿宋" w:eastAsia="仿宋" w:cs="仿宋"/>
          <w:color w:val="333333"/>
          <w:kern w:val="0"/>
          <w:sz w:val="32"/>
          <w:szCs w:val="32"/>
        </w:rPr>
        <w:t>号）以及江西省民政厅《关于印发江西省特困人员认定实施细则的通知》</w:t>
      </w:r>
      <w:r>
        <w:rPr>
          <w:rFonts w:hint="eastAsia" w:ascii="仿宋" w:hAnsi="仿宋" w:eastAsia="仿宋" w:cs="仿宋"/>
          <w:color w:val="333333"/>
          <w:kern w:val="0"/>
          <w:sz w:val="32"/>
          <w:szCs w:val="32"/>
        </w:rPr>
        <w:t>(</w:t>
      </w:r>
      <w:r>
        <w:rPr>
          <w:rFonts w:hint="eastAsia" w:ascii="仿宋" w:hAnsi="仿宋" w:eastAsia="仿宋" w:cs="仿宋"/>
          <w:color w:val="333333"/>
          <w:kern w:val="0"/>
          <w:sz w:val="32"/>
          <w:szCs w:val="32"/>
        </w:rPr>
        <w:t>赣民发〔</w:t>
      </w:r>
      <w:r>
        <w:rPr>
          <w:rFonts w:hint="eastAsia" w:ascii="仿宋" w:hAnsi="仿宋" w:eastAsia="仿宋" w:cs="仿宋"/>
          <w:color w:val="333333"/>
          <w:kern w:val="0"/>
          <w:sz w:val="32"/>
          <w:szCs w:val="32"/>
        </w:rPr>
        <w:t>2021</w:t>
      </w:r>
      <w:r>
        <w:rPr>
          <w:rFonts w:hint="eastAsia" w:ascii="仿宋" w:hAnsi="仿宋" w:eastAsia="仿宋" w:cs="仿宋"/>
          <w:color w:val="333333"/>
          <w:kern w:val="0"/>
          <w:sz w:val="32"/>
          <w:szCs w:val="32"/>
        </w:rPr>
        <w:t>〕</w:t>
      </w:r>
      <w:r>
        <w:rPr>
          <w:rFonts w:hint="eastAsia" w:ascii="仿宋" w:hAnsi="仿宋" w:eastAsia="仿宋" w:cs="仿宋"/>
          <w:color w:val="333333"/>
          <w:kern w:val="0"/>
          <w:sz w:val="32"/>
          <w:szCs w:val="32"/>
        </w:rPr>
        <w:t>7</w:t>
      </w:r>
      <w:r>
        <w:rPr>
          <w:rFonts w:hint="eastAsia" w:ascii="仿宋" w:hAnsi="仿宋" w:eastAsia="仿宋" w:cs="仿宋"/>
          <w:color w:val="333333"/>
          <w:kern w:val="0"/>
          <w:sz w:val="32"/>
          <w:szCs w:val="32"/>
        </w:rPr>
        <w:t>号）等法律、行政法规，结合本市实际，制定本办法。</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第二条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本市根据国家有关法律法规、制度规定和经济社会发展状况，不断完善分层分类、城乡统筹的中国特色社会救助体系，推进社会救助与乡村振兴有效衔接，形成救助合力，逐步提高社会救助水平。</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第三条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本办法坚持党对社会救助工作的全面领导和以人民为中心思想，坚持保基本、兜底线、救急难、可持续总体思路，遵循公开、公平、公正、便民、及时的原则。</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第四条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市民政局负责统筹本市社会救助对象的认定体系建设，建立健全居民家庭经济状况核对和社会救助受理机制。县（市、区）民政部门负责指导、监督乡镇人民政府、街道办事处（下称“乡镇、街道”）开展社会救助对象认定工作。</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市、县民政、教育、住房城乡建设、人力资源社会保障、卫生健康、应急管理、医疗保障、政法系统等社会救助管理部门根据国家、省有关法律和政策法规，同步制定专项救助政策。</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市发展改革、财政、乡村振兴、审计、公安、司法、城管执法等部门按照各自职责，共同做好社会救助对象认定工作。</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各县（市、区）城市社区管委会根据各地党委、政府明确的职能配置、内设机构和人员编制规定，依据本《办法》有关要求，承担乡镇（街道）社会救助对象认定的服务职能。</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第五条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乡镇、街道负责社会救助对象认定的申请受理、调查核实、审核确认、动态管理等工作。</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村民委员会、居民委员会依法协助乡镇、街道做好社会救助对象的认定工作。</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第六条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市、县两级依托省、市社会救助信息化系统建立社会救助资源库，实现社会救助信息互联互通、资源共享，为社会救助对象认定提供支持。</w:t>
      </w:r>
    </w:p>
    <w:p>
      <w:pPr>
        <w:widowControl/>
        <w:shd w:val="clear" w:color="auto" w:fill="FFFFFF"/>
        <w:spacing w:line="520" w:lineRule="atLeast"/>
        <w:ind w:firstLine="612"/>
        <w:rPr>
          <w:rFonts w:hint="eastAsia" w:ascii="仿宋" w:hAnsi="仿宋" w:eastAsia="仿宋" w:cs="仿宋"/>
          <w:color w:val="333333"/>
          <w:kern w:val="0"/>
          <w:szCs w:val="21"/>
        </w:rPr>
      </w:pPr>
      <w:r>
        <w:rPr>
          <w:rFonts w:hint="eastAsia" w:ascii="仿宋" w:hAnsi="仿宋" w:eastAsia="仿宋" w:cs="仿宋"/>
          <w:color w:val="333333"/>
          <w:spacing w:val="-4"/>
          <w:kern w:val="0"/>
          <w:sz w:val="32"/>
          <w:szCs w:val="32"/>
        </w:rPr>
        <w:t>第七条</w:t>
      </w:r>
      <w:r>
        <w:rPr>
          <w:rFonts w:hint="eastAsia" w:ascii="仿宋" w:hAnsi="仿宋" w:eastAsia="仿宋" w:cs="仿宋"/>
          <w:color w:val="333333"/>
          <w:spacing w:val="-4"/>
          <w:kern w:val="0"/>
          <w:sz w:val="32"/>
          <w:szCs w:val="32"/>
        </w:rPr>
        <w:t>  </w:t>
      </w:r>
      <w:r>
        <w:rPr>
          <w:rFonts w:hint="eastAsia" w:ascii="仿宋" w:hAnsi="仿宋" w:eastAsia="仿宋" w:cs="仿宋"/>
          <w:color w:val="333333"/>
          <w:spacing w:val="-4"/>
          <w:kern w:val="0"/>
          <w:sz w:val="32"/>
          <w:szCs w:val="32"/>
        </w:rPr>
        <w:t>各级人民政府、街道办事处及其社会救助管理部门应当通过各种形式，开展社会救助法律、法规、规章和政策的宣传。</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广播电视、报刊、网站、微信公众号等媒体应当加强社会救助公益宣传。</w:t>
      </w:r>
    </w:p>
    <w:p>
      <w:pPr>
        <w:widowControl/>
        <w:shd w:val="clear" w:color="auto" w:fill="FFFFFF"/>
        <w:spacing w:line="520" w:lineRule="atLeast"/>
        <w:jc w:val="center"/>
        <w:rPr>
          <w:rFonts w:hint="eastAsia" w:ascii="仿宋" w:hAnsi="仿宋" w:eastAsia="仿宋" w:cs="仿宋"/>
          <w:color w:val="333333"/>
          <w:kern w:val="0"/>
          <w:szCs w:val="21"/>
        </w:rPr>
      </w:pPr>
      <w:r>
        <w:rPr>
          <w:rFonts w:hint="eastAsia" w:ascii="仿宋" w:hAnsi="仿宋" w:eastAsia="仿宋" w:cs="仿宋"/>
          <w:color w:val="333333"/>
          <w:kern w:val="0"/>
          <w:sz w:val="32"/>
          <w:szCs w:val="32"/>
        </w:rPr>
        <w:t>第二章</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对象类别及认定条件</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第八条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本市的社会救助对象包括下列家庭或者人员：</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（一）最低生活保障家庭；</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（二）特困人员；</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（三）低保边缘家庭；</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（四）支出型困难家庭；</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（五）受灾人员；</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（六）生活无着的流浪乞讨人员；</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（七）临时遇困家庭或者人员；</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（八）需要急救，但身份不明或者无力支付费用的人员；</w:t>
      </w:r>
    </w:p>
    <w:p>
      <w:pPr>
        <w:widowControl/>
        <w:shd w:val="clear" w:color="auto" w:fill="FFFFFF"/>
        <w:spacing w:line="520" w:lineRule="atLeast"/>
        <w:ind w:firstLine="620"/>
        <w:rPr>
          <w:rFonts w:hint="eastAsia" w:ascii="仿宋" w:hAnsi="仿宋" w:eastAsia="仿宋" w:cs="仿宋"/>
          <w:color w:val="333333"/>
          <w:kern w:val="0"/>
          <w:szCs w:val="21"/>
        </w:rPr>
      </w:pPr>
      <w:r>
        <w:rPr>
          <w:rFonts w:hint="eastAsia" w:ascii="仿宋" w:hAnsi="仿宋" w:eastAsia="仿宋" w:cs="仿宋"/>
          <w:color w:val="333333"/>
          <w:spacing w:val="-2"/>
          <w:kern w:val="0"/>
          <w:sz w:val="32"/>
          <w:szCs w:val="32"/>
        </w:rPr>
        <w:t>（九）县级以上人民政府确定的其他特殊困难家庭或者人员。</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第九条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最低生活保障家庭，是指在本市共同生活的家庭成员人均可支配收入低于本市最低生活保障标准，且符合最低生活保障家庭财产标准规定的本市户籍家庭。有条件的县（市、区）可有序推进持有居住证人员在本市居住地申请资格确认。</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第十条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特困人员，是指同时具备以下条件的老年人、残疾人或未成年人，应当依法纳入特困人员救助供养范围：</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（一）无劳动能力；</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（二）无生活来源；</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（三）无法定赡养、抚养、扶养义务人或者其法定义务人无履行义务能力。</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第十一条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低保边缘家庭，是指本地户籍、未纳入最低生活保障、特困供养救助范围，符合下列规定的家庭。</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（一）在本市共同生活的家庭成员人均收入在最低生活保障标准</w:t>
      </w:r>
      <w:r>
        <w:rPr>
          <w:rFonts w:hint="eastAsia" w:ascii="仿宋" w:hAnsi="仿宋" w:eastAsia="仿宋" w:cs="仿宋"/>
          <w:color w:val="333333"/>
          <w:kern w:val="0"/>
          <w:sz w:val="32"/>
          <w:szCs w:val="32"/>
        </w:rPr>
        <w:t>1.5</w:t>
      </w:r>
      <w:r>
        <w:rPr>
          <w:rFonts w:hint="eastAsia" w:ascii="仿宋" w:hAnsi="仿宋" w:eastAsia="仿宋" w:cs="仿宋"/>
          <w:color w:val="333333"/>
          <w:kern w:val="0"/>
          <w:sz w:val="32"/>
          <w:szCs w:val="32"/>
        </w:rPr>
        <w:t>倍以下（有条件的地方可以放宽到</w:t>
      </w:r>
      <w:r>
        <w:rPr>
          <w:rFonts w:hint="eastAsia" w:ascii="仿宋" w:hAnsi="仿宋" w:eastAsia="仿宋" w:cs="仿宋"/>
          <w:color w:val="333333"/>
          <w:kern w:val="0"/>
          <w:sz w:val="32"/>
          <w:szCs w:val="32"/>
        </w:rPr>
        <w:t>2</w:t>
      </w:r>
      <w:r>
        <w:rPr>
          <w:rFonts w:hint="eastAsia" w:ascii="仿宋" w:hAnsi="仿宋" w:eastAsia="仿宋" w:cs="仿宋"/>
          <w:color w:val="333333"/>
          <w:kern w:val="0"/>
          <w:sz w:val="32"/>
          <w:szCs w:val="32"/>
        </w:rPr>
        <w:t>倍）。</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（二）乡村振兴部门（原扶贫部门）认定的脱贫不稳定户、边缘易致贫户、突发困难户。</w:t>
      </w:r>
    </w:p>
    <w:p>
      <w:pPr>
        <w:widowControl/>
        <w:shd w:val="clear" w:color="auto" w:fill="FFFFFF"/>
        <w:spacing w:before="225" w:after="225" w:line="520" w:lineRule="atLeast"/>
        <w:ind w:firstLine="626"/>
        <w:jc w:val="left"/>
        <w:rPr>
          <w:rFonts w:hint="eastAsia" w:ascii="仿宋" w:hAnsi="仿宋" w:eastAsia="仿宋" w:cs="仿宋"/>
          <w:color w:val="333333"/>
          <w:kern w:val="0"/>
          <w:sz w:val="27"/>
          <w:szCs w:val="27"/>
        </w:rPr>
      </w:pPr>
      <w:r>
        <w:rPr>
          <w:rFonts w:hint="eastAsia" w:ascii="仿宋" w:hAnsi="仿宋" w:eastAsia="仿宋" w:cs="仿宋"/>
          <w:color w:val="333333"/>
          <w:kern w:val="0"/>
          <w:sz w:val="32"/>
          <w:szCs w:val="32"/>
        </w:rPr>
        <w:t>（三）家庭成员拥有的全部现金、存款、债券、房产、车辆、生产资料等家庭财产符合本市低保边缘家庭申请专项救助财产标准规定的。</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第十二条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支出型困难家庭，是指本地户籍、未纳入最低生活保障、特困供养或者低保边缘家庭范围，符合下列规定的家庭。</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（一）申请人家庭可支配收入扣减医疗、教育、住房、残疾人康复治疗以及必要的辅助器械配备、失能、半失能护理费用和必要就业成本后，人均月收入在当地居民最低生活保障标准</w:t>
      </w:r>
      <w:r>
        <w:rPr>
          <w:rFonts w:hint="eastAsia" w:ascii="仿宋" w:hAnsi="仿宋" w:eastAsia="仿宋" w:cs="仿宋"/>
          <w:color w:val="333333"/>
          <w:kern w:val="0"/>
          <w:sz w:val="32"/>
          <w:szCs w:val="32"/>
        </w:rPr>
        <w:t>1.5</w:t>
      </w:r>
      <w:r>
        <w:rPr>
          <w:rFonts w:hint="eastAsia" w:ascii="仿宋" w:hAnsi="仿宋" w:eastAsia="仿宋" w:cs="仿宋"/>
          <w:color w:val="333333"/>
          <w:kern w:val="0"/>
          <w:sz w:val="32"/>
          <w:szCs w:val="32"/>
        </w:rPr>
        <w:t>倍以上，低于本市上年度全市居民人均可支配收入；核算日以困难家庭申请之日前</w:t>
      </w:r>
      <w:r>
        <w:rPr>
          <w:rFonts w:hint="eastAsia" w:ascii="仿宋" w:hAnsi="仿宋" w:eastAsia="仿宋" w:cs="仿宋"/>
          <w:color w:val="333333"/>
          <w:kern w:val="0"/>
          <w:sz w:val="32"/>
          <w:szCs w:val="32"/>
        </w:rPr>
        <w:t>12</w:t>
      </w:r>
      <w:r>
        <w:rPr>
          <w:rFonts w:hint="eastAsia" w:ascii="仿宋" w:hAnsi="仿宋" w:eastAsia="仿宋" w:cs="仿宋"/>
          <w:color w:val="333333"/>
          <w:kern w:val="0"/>
          <w:sz w:val="32"/>
          <w:szCs w:val="32"/>
        </w:rPr>
        <w:t>个月为基准。</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（二）家庭财产符合本市支出型困难家庭申请专项救助财产标准规定。</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第十三条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自然灾害受灾人员，是指因本市行政区域内发生自然灾害，导致其基本生活受到严重影响的人员。</w:t>
      </w:r>
    </w:p>
    <w:p>
      <w:pPr>
        <w:widowControl/>
        <w:shd w:val="clear" w:color="auto" w:fill="FFFFFF"/>
        <w:spacing w:before="225" w:after="225" w:line="520" w:lineRule="atLeast"/>
        <w:ind w:firstLine="626"/>
        <w:jc w:val="left"/>
        <w:rPr>
          <w:rFonts w:hint="eastAsia" w:ascii="仿宋" w:hAnsi="仿宋" w:eastAsia="仿宋" w:cs="仿宋"/>
          <w:color w:val="333333"/>
          <w:kern w:val="0"/>
          <w:sz w:val="27"/>
          <w:szCs w:val="27"/>
        </w:rPr>
      </w:pPr>
      <w:r>
        <w:rPr>
          <w:rFonts w:hint="eastAsia" w:ascii="仿宋" w:hAnsi="仿宋" w:eastAsia="仿宋" w:cs="仿宋"/>
          <w:color w:val="333333"/>
          <w:kern w:val="0"/>
          <w:sz w:val="32"/>
          <w:szCs w:val="32"/>
        </w:rPr>
        <w:t>第十四条 </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生活无着的流浪乞讨人员（以下简称“流浪乞讨人员”），是指离家在外身陷生存困境、自身无力解决食宿、处于流浪、乞讨状态的人员。</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第十五条 </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临时救助对象，是指具有下列情形之一的家庭或者个人：</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（一）因火灾、交通事故、突发公共事件，家庭成员突发重大疾病等原因，导致基本生活暂时出现严重困难的本市户籍家庭或者家庭成员持有本市居住证的非本市户籍家庭；</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（二）因生活必需支出突然增加超出家庭承受能力，导致基本生活暂时出现严重困难的最低生活保障家庭、特困人员、支出型困难家庭、低保边缘家庭；</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（三）因遭遇火灾、交通事故、突发重大疾病或者其他特殊困难，暂时无法得到家庭支持，导致基本生活陷入困境的个人；</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（四）流浪乞讨人员；</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（五）因公共事件三个月以上无法正常就业，导致基本生活短期陷入困难的家庭。</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县级人民政府根据本行政区的实际情况，规定遭遇其他特殊困难的家庭或者个人为临时救助对象。</w:t>
      </w:r>
    </w:p>
    <w:p>
      <w:pPr>
        <w:widowControl/>
        <w:shd w:val="clear" w:color="auto" w:fill="FFFFFF"/>
        <w:spacing w:before="225" w:after="225" w:line="520" w:lineRule="atLeast"/>
        <w:ind w:firstLine="626"/>
        <w:jc w:val="left"/>
        <w:rPr>
          <w:rFonts w:hint="eastAsia" w:ascii="仿宋" w:hAnsi="仿宋" w:eastAsia="仿宋" w:cs="仿宋"/>
          <w:color w:val="333333"/>
          <w:kern w:val="0"/>
          <w:sz w:val="27"/>
          <w:szCs w:val="27"/>
        </w:rPr>
      </w:pPr>
      <w:r>
        <w:rPr>
          <w:rFonts w:hint="eastAsia" w:ascii="仿宋" w:hAnsi="仿宋" w:eastAsia="仿宋" w:cs="仿宋"/>
          <w:color w:val="333333"/>
          <w:kern w:val="0"/>
          <w:sz w:val="32"/>
          <w:szCs w:val="32"/>
        </w:rPr>
        <w:t>第十六条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需要急救，但身份不明或无力支付费用的人员是指市内发生急危重伤病、需要急救但身份不明确或无力支付相应费用的人员。</w:t>
      </w:r>
    </w:p>
    <w:p>
      <w:pPr>
        <w:widowControl/>
        <w:shd w:val="clear" w:color="auto" w:fill="FFFFFF"/>
        <w:spacing w:before="225" w:after="225" w:line="520" w:lineRule="atLeast"/>
        <w:ind w:firstLine="626"/>
        <w:jc w:val="left"/>
        <w:rPr>
          <w:rFonts w:hint="eastAsia" w:ascii="仿宋" w:hAnsi="仿宋" w:eastAsia="仿宋" w:cs="仿宋"/>
          <w:color w:val="333333"/>
          <w:kern w:val="0"/>
          <w:sz w:val="27"/>
          <w:szCs w:val="27"/>
        </w:rPr>
      </w:pPr>
      <w:r>
        <w:rPr>
          <w:rFonts w:hint="eastAsia" w:ascii="仿宋" w:hAnsi="仿宋" w:eastAsia="仿宋" w:cs="仿宋"/>
          <w:color w:val="333333"/>
          <w:kern w:val="0"/>
          <w:sz w:val="32"/>
          <w:szCs w:val="32"/>
        </w:rPr>
        <w:t>无能力支付患者，主要包括民政部门认定的城乡低保对象、特困人员和由民政等部门确认的流浪乞讨人员，以及县级以上政府认定的其他人员。</w:t>
      </w:r>
    </w:p>
    <w:p>
      <w:pPr>
        <w:widowControl/>
        <w:shd w:val="clear" w:color="auto" w:fill="FFFFFF"/>
        <w:spacing w:before="225" w:after="225" w:line="520" w:lineRule="atLeast"/>
        <w:ind w:firstLine="626"/>
        <w:jc w:val="left"/>
        <w:rPr>
          <w:rFonts w:hint="eastAsia" w:ascii="仿宋" w:hAnsi="仿宋" w:eastAsia="仿宋" w:cs="仿宋"/>
          <w:color w:val="333333"/>
          <w:kern w:val="0"/>
          <w:sz w:val="27"/>
          <w:szCs w:val="27"/>
        </w:rPr>
      </w:pPr>
      <w:r>
        <w:rPr>
          <w:rFonts w:hint="eastAsia" w:ascii="仿宋" w:hAnsi="仿宋" w:eastAsia="仿宋" w:cs="仿宋"/>
          <w:color w:val="333333"/>
          <w:kern w:val="0"/>
          <w:sz w:val="32"/>
          <w:szCs w:val="32"/>
        </w:rPr>
        <w:t> </w:t>
      </w:r>
    </w:p>
    <w:p>
      <w:pPr>
        <w:widowControl/>
        <w:shd w:val="clear" w:color="auto" w:fill="FFFFFF"/>
        <w:spacing w:line="520" w:lineRule="atLeast"/>
        <w:jc w:val="center"/>
        <w:rPr>
          <w:rFonts w:hint="eastAsia" w:ascii="仿宋" w:hAnsi="仿宋" w:eastAsia="仿宋" w:cs="仿宋"/>
          <w:color w:val="333333"/>
          <w:kern w:val="0"/>
          <w:szCs w:val="21"/>
        </w:rPr>
      </w:pPr>
      <w:r>
        <w:rPr>
          <w:rFonts w:hint="eastAsia" w:ascii="仿宋" w:hAnsi="仿宋" w:eastAsia="仿宋" w:cs="仿宋"/>
          <w:color w:val="333333"/>
          <w:kern w:val="0"/>
          <w:sz w:val="32"/>
          <w:szCs w:val="32"/>
        </w:rPr>
        <w:t>第三章</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对象认定程序</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第十七条 </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申请最低生活保障、特困人员、低保边缘家庭、支出型困难家庭生活救助、临时救助、医疗救助、住房救助、就业救助的，可以通过网络或者向就近的村居委员会和乡镇、街道社会事务受理服务机构提出申请。</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材料不齐备的，应当一次性告知申请人或者其代理人补齐所有规定材料；可以通过国家或地方政务服务平台查询、部门信息共享获取的相关证明材料，不再要求申请人重复提交。</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申请教育救助的，应当按照国家和本市有关规定，由学生本人或者其监护人向就读学校提出申请。</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第十八条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申请或者已经符合社会救助条件的家庭，应当配合有关单位和机构调查并如实申报家庭人口、收入、财产、支出等状况；与申报状况发生重大变化的，应当及时告知村（居）委会、乡镇（街道）或者相关社会救助管理部门。</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申请或已经符合社会救助对象认定条件的，应当主动向乡镇、街道提供公安部门认定的人脸授权或者书面授权。</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第十九条 </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申请人户籍所在地的乡镇、街道应当通过入户调查、邻里访问、信函索证、群众评议、居民经济状况核对等方式，对申请人家庭的人口、收入、财产、支出等状况进行调查核实。</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申请人实际居住地和户籍地相分离的，实际居住地的乡镇、街道应当协助做好入户调查、邻里访问、群众评议、公示等工作。</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发生重大突发公共事件时，可以简化认定程序中入户调查、邻里访问和定期复核等环节。</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第二十条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乡镇、街道和相关社会救助管理部门可以委托居民家庭经济状况核对机构，对申请人的家庭经济状况进行核查，并在规定时间内出具核对报告，为审核、认定社会救助对象提供依据。</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第二十一条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居民家庭经济状况核对机构根据委托，依法查询申请对象的户籍登记、婚姻登记、车船登记、就业登记、不动产登记、工商和社会组织登记、税务、社会保险、医疗补充保险、住房公积金、医疗和教育费用支出、银行存款、有价证券、商业保险、基金等信息，调查核实申请人家庭人口、收入、财产、支出等状况。</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民政、财政、公安、市场监管、税务、人力资源社会保障、教育、金融管理、自然资源、住房城乡建设、公积金、医疗保障、卫生健康、退伍军人、农业农村、乡村振兴等部门或者机构，工会、红十字会等有关团体，以及金融机构等单位应当予以配合，及时提供相关信息。</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市、县两级社会救助管理部门可根据信息共享渠道以及其他帮扶措施的综合运用结果，建立完善社会救助资源信息库，健全主动监测、及时预警、救助转介机制，依托省、市社会救助信息化平台，为困难群众应急救助、综合救助以及专项救助提供依据。</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第二十二条 </w:t>
      </w:r>
      <w:r>
        <w:rPr>
          <w:rFonts w:hint="eastAsia" w:ascii="仿宋" w:hAnsi="仿宋" w:eastAsia="仿宋" w:cs="仿宋"/>
          <w:color w:val="333333"/>
          <w:kern w:val="0"/>
          <w:sz w:val="32"/>
          <w:szCs w:val="32"/>
        </w:rPr>
        <w:t> </w:t>
      </w:r>
      <w:r>
        <w:rPr>
          <w:rFonts w:hint="eastAsia" w:ascii="仿宋" w:hAnsi="仿宋" w:eastAsia="仿宋" w:cs="仿宋"/>
          <w:color w:val="333333"/>
          <w:spacing w:val="-4"/>
          <w:kern w:val="0"/>
          <w:sz w:val="32"/>
          <w:szCs w:val="32"/>
        </w:rPr>
        <w:t>社会救助对象认定由申请人户籍所在地的乡镇、街道负责审核确认，确认结果在社会救助成员单位中共享互认。</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第二十三条 </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救助对象身份认定审核确认时，乡镇、街道应当在规定时限内完成救助对象身份认定的审核确认，并及时通知申请人；不符合条件的，应当说明理由，并书面下达告知书或短消息提醒。</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第二十四条 </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乡镇、街道应当将符合条件的社会救助对象的基本信息，在其所在地的村（居）务公开栏、电子屏等场所或者相关政府网站、媒体公布。</w:t>
      </w:r>
    </w:p>
    <w:p>
      <w:pPr>
        <w:widowControl/>
        <w:shd w:val="clear" w:color="auto" w:fill="FFFFFF"/>
        <w:spacing w:before="225" w:after="225" w:line="520" w:lineRule="atLeast"/>
        <w:ind w:firstLine="626"/>
        <w:jc w:val="left"/>
        <w:rPr>
          <w:rFonts w:hint="eastAsia" w:ascii="仿宋" w:hAnsi="仿宋" w:eastAsia="仿宋" w:cs="仿宋"/>
          <w:color w:val="333333"/>
          <w:kern w:val="0"/>
          <w:sz w:val="27"/>
          <w:szCs w:val="27"/>
        </w:rPr>
      </w:pPr>
      <w:r>
        <w:rPr>
          <w:rFonts w:hint="eastAsia" w:ascii="仿宋" w:hAnsi="仿宋" w:eastAsia="仿宋" w:cs="仿宋"/>
          <w:color w:val="333333"/>
          <w:kern w:val="0"/>
          <w:sz w:val="32"/>
          <w:szCs w:val="32"/>
        </w:rPr>
        <w:t>第二十五条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省、市建立社会救助对象认定服务平台，为困难群众提供方便快捷的在线申请、办理和查询、投诉等服务。</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第二十六条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社会救助对象认定辅助性工作可以通过政府购买服务方式委托社会力量实施。社会力量参与社会救助对象认定的，应当坚持依法依规、诚实信用，接受政府指导和社会监督。</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 </w:t>
      </w:r>
    </w:p>
    <w:p>
      <w:pPr>
        <w:widowControl/>
        <w:shd w:val="clear" w:color="auto" w:fill="FFFFFF"/>
        <w:spacing w:line="520" w:lineRule="atLeast"/>
        <w:jc w:val="center"/>
        <w:rPr>
          <w:rFonts w:hint="eastAsia" w:ascii="仿宋" w:hAnsi="仿宋" w:eastAsia="仿宋" w:cs="仿宋"/>
          <w:color w:val="333333"/>
          <w:kern w:val="0"/>
          <w:szCs w:val="21"/>
        </w:rPr>
      </w:pPr>
      <w:r>
        <w:rPr>
          <w:rFonts w:hint="eastAsia" w:ascii="仿宋" w:hAnsi="仿宋" w:eastAsia="仿宋" w:cs="仿宋"/>
          <w:color w:val="333333"/>
          <w:kern w:val="0"/>
          <w:sz w:val="32"/>
          <w:szCs w:val="32"/>
        </w:rPr>
        <w:t>第四章</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管理与监督</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第二十七条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最低生活保障、特困人员认定分别按照民政部《最低生活保障审核确认办法》、《特困人员认定办法》和《江西省最低生活保障操作规程》等民政政策法规实施。</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民政、教育、住房城乡建设、人力资源社会保障、卫生健康、应急管理、医疗保障等部门制定的专项救助认定标准，应当结合本市经济社会发展水平、居民生活水平和居民消费价格指数、困难家庭维持基本生活必需的费用等因素确定，并适时进行调整。</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第二十八条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乡镇、街道和相关社会救助管理部门应当依照各自职责，对社会救助对象进行定期核查或不定期抽查。对拒不配合对象认定工作的，社会救助对象户籍所在地乡镇、街道可以终止认定程序，并报县级人民政府社会救助部门备案。</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有下列情形之一的，社会救助对象户籍所在地乡镇、街道应当作出取消其社会救助对象身份资格，停止救助的决定，并在所在村（社区）进行</w:t>
      </w:r>
      <w:r>
        <w:rPr>
          <w:rFonts w:hint="eastAsia" w:ascii="仿宋" w:hAnsi="仿宋" w:eastAsia="仿宋" w:cs="仿宋"/>
          <w:color w:val="333333"/>
          <w:kern w:val="0"/>
          <w:sz w:val="32"/>
          <w:szCs w:val="32"/>
        </w:rPr>
        <w:t>5</w:t>
      </w:r>
      <w:r>
        <w:rPr>
          <w:rFonts w:hint="eastAsia" w:ascii="仿宋" w:hAnsi="仿宋" w:eastAsia="仿宋" w:cs="仿宋"/>
          <w:color w:val="333333"/>
          <w:kern w:val="0"/>
          <w:sz w:val="32"/>
          <w:szCs w:val="32"/>
        </w:rPr>
        <w:t>个工作日公示，公示期满无异议之后正式取消，同时报县级人民政府民政部门备案：</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（一）采取虚报、隐瞒、伪造等手段，骗取救助资金、物资或者服务的；</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（二）不再符合相关社会救助条件的；</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（三）拒绝配合对其家庭人口、收入、财产、支出等状况进行核查的；</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（四）存在与其收入水平不相符的高消费行为且无法说明正当理由的；</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（五）个人在救助期间参与赌博、吸毒等违法活动的；</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（六）最低生活保障家庭中有劳动能力但未就业的成员，无正当理由，连续三次拒绝接受公共就业服务机构介绍的与其健康状况、劳动能力等相适应的工作的。</w:t>
      </w:r>
    </w:p>
    <w:p>
      <w:pPr>
        <w:widowControl/>
        <w:shd w:val="clear" w:color="auto" w:fill="FFFFFF"/>
        <w:spacing w:before="225" w:after="225" w:line="520" w:lineRule="atLeast"/>
        <w:ind w:firstLine="626"/>
        <w:jc w:val="left"/>
        <w:rPr>
          <w:rFonts w:hint="eastAsia" w:ascii="仿宋" w:hAnsi="仿宋" w:eastAsia="仿宋" w:cs="仿宋"/>
          <w:color w:val="333333"/>
          <w:kern w:val="0"/>
          <w:sz w:val="27"/>
          <w:szCs w:val="27"/>
        </w:rPr>
      </w:pPr>
      <w:r>
        <w:rPr>
          <w:rFonts w:hint="eastAsia" w:ascii="仿宋" w:hAnsi="仿宋" w:eastAsia="仿宋" w:cs="仿宋"/>
          <w:color w:val="333333"/>
          <w:kern w:val="0"/>
          <w:sz w:val="32"/>
          <w:szCs w:val="32"/>
        </w:rPr>
        <w:t>第二十九条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已认定为社会救助对象的家庭或者人员，对社会救助管理部门作出的具体行政行为不服的，可以依法申请行政复议或者提起行政诉讼。</w:t>
      </w:r>
    </w:p>
    <w:p>
      <w:pPr>
        <w:widowControl/>
        <w:shd w:val="clear" w:color="auto" w:fill="FFFFFF"/>
        <w:spacing w:before="225" w:after="225" w:line="520" w:lineRule="atLeast"/>
        <w:ind w:firstLine="626"/>
        <w:jc w:val="left"/>
        <w:rPr>
          <w:rFonts w:hint="eastAsia" w:ascii="仿宋" w:hAnsi="仿宋" w:eastAsia="仿宋" w:cs="仿宋"/>
          <w:color w:val="333333"/>
          <w:kern w:val="0"/>
          <w:sz w:val="27"/>
          <w:szCs w:val="27"/>
        </w:rPr>
      </w:pPr>
      <w:r>
        <w:rPr>
          <w:rFonts w:hint="eastAsia" w:ascii="仿宋" w:hAnsi="仿宋" w:eastAsia="仿宋" w:cs="仿宋"/>
          <w:color w:val="333333"/>
          <w:kern w:val="0"/>
          <w:sz w:val="32"/>
          <w:szCs w:val="32"/>
        </w:rPr>
        <w:t>市、县人民政府应当采取措施，加强对社会救助工作人员的职业保护；对在社会救助工作中因公致伤、致残、死亡的，按照国家和本市有关规定，给予工伤和抚恤待遇。</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第三十条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根据国家、省法律法规或地方规章制度，建立完善社会救助对象信用记录制度，纳入市、省和国家信用信息共享平台，依法开展失信惩戒。</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第三十一条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各级经办机构和工作人员对在社会救助对象认定工作中获取的救助对象个人信息，除按照规定应予公示的信息外，应当予以保密。</w:t>
      </w:r>
    </w:p>
    <w:p>
      <w:pPr>
        <w:widowControl/>
        <w:shd w:val="clear" w:color="auto" w:fill="FFFFFF"/>
        <w:spacing w:before="225" w:after="225" w:line="520" w:lineRule="atLeast"/>
        <w:ind w:firstLine="626"/>
        <w:jc w:val="left"/>
        <w:rPr>
          <w:rFonts w:hint="eastAsia" w:ascii="仿宋" w:hAnsi="仿宋" w:eastAsia="仿宋" w:cs="仿宋"/>
          <w:color w:val="333333"/>
          <w:kern w:val="0"/>
          <w:sz w:val="27"/>
          <w:szCs w:val="27"/>
        </w:rPr>
      </w:pPr>
      <w:r>
        <w:rPr>
          <w:rFonts w:hint="eastAsia" w:ascii="仿宋" w:hAnsi="仿宋" w:eastAsia="仿宋" w:cs="仿宋"/>
          <w:color w:val="333333"/>
          <w:kern w:val="0"/>
          <w:sz w:val="32"/>
          <w:szCs w:val="32"/>
        </w:rPr>
        <w:t>通过第三方机构对社会救助对象信息进行采集的，原则上应通过相关部门政务信息系统组织实施，以线上采集为主，并签订保密协议。</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第三十二条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市、县人民政府及其社会救助管理部门应当主动公开社会救助对象认定程序、标准和举报电话，接受社会监督；对接到的投诉、举报，应当及时核实、处理，并将结果告知投诉人、举报人。</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第三十三条 </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违反本办法规定，有下列情形之一的，由有关单位责令改正；对直接负责的主管人员和其他直接责任人员，依法给予处分：</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（一）对符合认定条件不予受理或审核确认的；</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（二）利用职权非法查询与社会救助申请无关的公民个人信息，或者利用职务之便，向他人出售或者提供公民个人信息的；</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（三）在履行社会救助对象认定过程中，有其他滥用职权、玩忽职守、徇私舞弊行为的。</w:t>
      </w:r>
    </w:p>
    <w:p>
      <w:pPr>
        <w:widowControl/>
        <w:shd w:val="clear" w:color="auto" w:fill="FFFFFF"/>
        <w:spacing w:before="225" w:after="225" w:line="520" w:lineRule="atLeast"/>
        <w:ind w:firstLine="626"/>
        <w:jc w:val="left"/>
        <w:rPr>
          <w:rFonts w:hint="eastAsia" w:ascii="仿宋" w:hAnsi="仿宋" w:eastAsia="仿宋" w:cs="仿宋"/>
          <w:color w:val="333333"/>
          <w:kern w:val="0"/>
          <w:sz w:val="27"/>
          <w:szCs w:val="27"/>
        </w:rPr>
      </w:pPr>
      <w:r>
        <w:rPr>
          <w:rFonts w:hint="eastAsia" w:ascii="仿宋" w:hAnsi="仿宋" w:eastAsia="仿宋" w:cs="仿宋"/>
          <w:color w:val="333333"/>
          <w:kern w:val="0"/>
          <w:sz w:val="32"/>
          <w:szCs w:val="32"/>
        </w:rPr>
        <w:t>对已按规定履行信息核对和调查审核职责或者通过部门协同，因非主观原因出现失误偏差的，对相关人员实行尽职免责。对在救助工作中有突出贡献的基层社会救助工作队伍和人员，按照国家有关规定给予表彰或奖励。</w:t>
      </w:r>
    </w:p>
    <w:p>
      <w:pPr>
        <w:widowControl/>
        <w:shd w:val="clear" w:color="auto" w:fill="FFFFFF"/>
        <w:spacing w:before="225" w:after="225" w:line="520" w:lineRule="atLeast"/>
        <w:ind w:firstLine="626"/>
        <w:jc w:val="left"/>
        <w:rPr>
          <w:rFonts w:hint="eastAsia" w:ascii="仿宋" w:hAnsi="仿宋" w:eastAsia="仿宋" w:cs="仿宋"/>
          <w:color w:val="333333"/>
          <w:kern w:val="0"/>
          <w:sz w:val="27"/>
          <w:szCs w:val="27"/>
        </w:rPr>
      </w:pPr>
      <w:r>
        <w:rPr>
          <w:rFonts w:hint="eastAsia" w:ascii="仿宋" w:hAnsi="仿宋" w:eastAsia="仿宋" w:cs="仿宋"/>
          <w:color w:val="333333"/>
          <w:kern w:val="0"/>
          <w:sz w:val="32"/>
          <w:szCs w:val="32"/>
        </w:rPr>
        <w:t>第三十四条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违反国家、省、市有关规定，出具虚假证明材料的，依照法律、行政法规规定将单位或者个人违法情况纳入信用记录，并予以公示。</w:t>
      </w:r>
    </w:p>
    <w:p>
      <w:pPr>
        <w:widowControl/>
        <w:shd w:val="clear" w:color="auto" w:fill="FFFFFF"/>
        <w:spacing w:before="225" w:after="225" w:line="520" w:lineRule="atLeast"/>
        <w:ind w:firstLine="626"/>
        <w:jc w:val="left"/>
        <w:rPr>
          <w:rFonts w:hint="eastAsia" w:ascii="仿宋" w:hAnsi="仿宋" w:eastAsia="仿宋" w:cs="仿宋"/>
          <w:color w:val="333333"/>
          <w:kern w:val="0"/>
          <w:sz w:val="27"/>
          <w:szCs w:val="27"/>
        </w:rPr>
      </w:pPr>
      <w:r>
        <w:rPr>
          <w:rFonts w:hint="eastAsia" w:ascii="仿宋" w:hAnsi="仿宋" w:eastAsia="仿宋" w:cs="仿宋"/>
          <w:color w:val="333333"/>
          <w:kern w:val="0"/>
          <w:sz w:val="32"/>
          <w:szCs w:val="32"/>
        </w:rPr>
        <w:t>对出具虚假证明材料的单位，县、市社会救助管理部门应当建议相关单位或者其上级主管机关依法依纪对相关责任人予以处理。</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第三十五条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对无理取闹或者以威胁、暴力等方式扰乱社会救助管理部门工作秩序，构成违反治安管理行为的，依法给予治安管理处罚。</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第三十六条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违反本办法规定，构成犯罪的，依法追究刑事责任。</w:t>
      </w:r>
    </w:p>
    <w:p>
      <w:pPr>
        <w:widowControl/>
        <w:shd w:val="clear" w:color="auto" w:fill="FFFFFF"/>
        <w:spacing w:line="520" w:lineRule="atLeast"/>
        <w:ind w:firstLine="408"/>
        <w:rPr>
          <w:rFonts w:hint="eastAsia" w:ascii="仿宋" w:hAnsi="仿宋" w:eastAsia="仿宋" w:cs="仿宋"/>
          <w:color w:val="333333"/>
          <w:kern w:val="0"/>
          <w:szCs w:val="21"/>
        </w:rPr>
      </w:pPr>
      <w:r>
        <w:rPr>
          <w:rFonts w:hint="eastAsia" w:ascii="仿宋" w:hAnsi="仿宋" w:eastAsia="仿宋" w:cs="仿宋"/>
          <w:color w:val="333333"/>
          <w:kern w:val="0"/>
          <w:szCs w:val="21"/>
        </w:rPr>
        <w:t> </w:t>
      </w:r>
    </w:p>
    <w:p>
      <w:pPr>
        <w:widowControl/>
        <w:shd w:val="clear" w:color="auto" w:fill="FFFFFF"/>
        <w:spacing w:line="520" w:lineRule="atLeast"/>
        <w:jc w:val="center"/>
        <w:rPr>
          <w:rFonts w:hint="eastAsia" w:ascii="仿宋" w:hAnsi="仿宋" w:eastAsia="仿宋" w:cs="仿宋"/>
          <w:color w:val="333333"/>
          <w:kern w:val="0"/>
          <w:szCs w:val="21"/>
        </w:rPr>
      </w:pPr>
      <w:r>
        <w:rPr>
          <w:rFonts w:hint="eastAsia" w:ascii="仿宋" w:hAnsi="仿宋" w:eastAsia="仿宋" w:cs="仿宋"/>
          <w:color w:val="333333"/>
          <w:kern w:val="0"/>
          <w:sz w:val="32"/>
          <w:szCs w:val="32"/>
        </w:rPr>
        <w:t>第五章</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附</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则</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第三十七条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本办法所称的在本市共同生活的家庭成员，是指配偶、父母、子女以及儿媳、女婿等其他履行法定权利和义务的近亲属。</w:t>
      </w:r>
    </w:p>
    <w:p>
      <w:pPr>
        <w:widowControl/>
        <w:shd w:val="clear" w:color="auto" w:fill="FFFFFF"/>
        <w:spacing w:before="225" w:after="225" w:line="520" w:lineRule="atLeast"/>
        <w:ind w:firstLine="626"/>
        <w:jc w:val="left"/>
        <w:rPr>
          <w:rFonts w:hint="eastAsia" w:ascii="仿宋" w:hAnsi="仿宋" w:eastAsia="仿宋" w:cs="仿宋"/>
          <w:color w:val="333333"/>
          <w:kern w:val="0"/>
          <w:sz w:val="27"/>
          <w:szCs w:val="27"/>
        </w:rPr>
      </w:pPr>
      <w:r>
        <w:rPr>
          <w:rFonts w:hint="eastAsia" w:ascii="仿宋" w:hAnsi="仿宋" w:eastAsia="仿宋" w:cs="仿宋"/>
          <w:color w:val="333333"/>
          <w:kern w:val="0"/>
          <w:sz w:val="32"/>
          <w:szCs w:val="32"/>
        </w:rPr>
        <w:t>本办法所称的共同生活应当综合考虑共同居所、共同享受家庭权利、共同承担家庭义务、家庭共同财产、相互扶助关爱、共同居住时间等因素认定。</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对事实存在并长期共同生活的过继、寄养、收养人，应当考虑双方的义务履行情况及现实生活状况。</w:t>
      </w:r>
    </w:p>
    <w:p>
      <w:pPr>
        <w:widowControl/>
        <w:shd w:val="clear" w:color="auto" w:fill="FFFFFF"/>
        <w:spacing w:line="520" w:lineRule="atLeast"/>
        <w:ind w:firstLine="628"/>
        <w:jc w:val="left"/>
        <w:rPr>
          <w:rFonts w:hint="eastAsia" w:ascii="仿宋" w:hAnsi="仿宋" w:eastAsia="仿宋" w:cs="仿宋"/>
          <w:color w:val="333333"/>
          <w:kern w:val="0"/>
          <w:szCs w:val="21"/>
        </w:rPr>
      </w:pPr>
      <w:r>
        <w:rPr>
          <w:rFonts w:hint="eastAsia" w:ascii="仿宋" w:hAnsi="仿宋" w:eastAsia="仿宋" w:cs="仿宋"/>
          <w:color w:val="333333"/>
          <w:kern w:val="0"/>
          <w:sz w:val="32"/>
          <w:szCs w:val="32"/>
        </w:rPr>
        <w:t>第三十八条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下列人员不计入共同生活的家庭成员：</w:t>
      </w:r>
    </w:p>
    <w:p>
      <w:pPr>
        <w:widowControl/>
        <w:shd w:val="clear" w:color="auto" w:fill="FFFFFF"/>
        <w:spacing w:line="520" w:lineRule="atLeast"/>
        <w:ind w:firstLine="628"/>
        <w:jc w:val="left"/>
        <w:rPr>
          <w:rFonts w:hint="eastAsia" w:ascii="仿宋" w:hAnsi="仿宋" w:eastAsia="仿宋" w:cs="仿宋"/>
          <w:color w:val="333333"/>
          <w:kern w:val="0"/>
          <w:szCs w:val="21"/>
        </w:rPr>
      </w:pPr>
      <w:r>
        <w:rPr>
          <w:rFonts w:hint="eastAsia" w:ascii="仿宋" w:hAnsi="仿宋" w:eastAsia="仿宋" w:cs="仿宋"/>
          <w:color w:val="333333"/>
          <w:kern w:val="0"/>
          <w:sz w:val="32"/>
          <w:szCs w:val="32"/>
        </w:rPr>
        <w:t>（一）连续三年以上（含三年）脱离家庭独立生活的宗教教职人员；</w:t>
      </w:r>
    </w:p>
    <w:p>
      <w:pPr>
        <w:widowControl/>
        <w:shd w:val="clear" w:color="auto" w:fill="FFFFFF"/>
        <w:spacing w:line="520" w:lineRule="atLeast"/>
        <w:ind w:firstLine="628"/>
        <w:jc w:val="left"/>
        <w:rPr>
          <w:rFonts w:hint="eastAsia" w:ascii="仿宋" w:hAnsi="仿宋" w:eastAsia="仿宋" w:cs="仿宋"/>
          <w:color w:val="333333"/>
          <w:kern w:val="0"/>
          <w:szCs w:val="21"/>
        </w:rPr>
      </w:pPr>
      <w:r>
        <w:rPr>
          <w:rFonts w:hint="eastAsia" w:ascii="仿宋" w:hAnsi="仿宋" w:eastAsia="仿宋" w:cs="仿宋"/>
          <w:color w:val="333333"/>
          <w:kern w:val="0"/>
          <w:sz w:val="32"/>
          <w:szCs w:val="32"/>
        </w:rPr>
        <w:t>（二）在监所内在押或服刑、在戒毒所强行戒毒人员和人民法院宣告失踪人员，司法行政部门认定的社区矫正人员除外；</w:t>
      </w:r>
    </w:p>
    <w:p>
      <w:pPr>
        <w:widowControl/>
        <w:shd w:val="clear" w:color="auto" w:fill="FFFFFF"/>
        <w:spacing w:before="225" w:after="225" w:line="520" w:lineRule="atLeast"/>
        <w:ind w:firstLine="628"/>
        <w:jc w:val="left"/>
        <w:rPr>
          <w:rFonts w:hint="eastAsia" w:ascii="仿宋" w:hAnsi="仿宋" w:eastAsia="仿宋" w:cs="仿宋"/>
          <w:color w:val="333333"/>
          <w:kern w:val="0"/>
          <w:sz w:val="27"/>
          <w:szCs w:val="27"/>
        </w:rPr>
      </w:pPr>
      <w:r>
        <w:rPr>
          <w:rFonts w:hint="eastAsia" w:ascii="仿宋" w:hAnsi="仿宋" w:eastAsia="仿宋" w:cs="仿宋"/>
          <w:color w:val="333333"/>
          <w:kern w:val="0"/>
          <w:sz w:val="32"/>
          <w:szCs w:val="32"/>
        </w:rPr>
        <w:t>（三）未经人民法院宣告失踪，但能够提供登报寻人启事、公安部门出具的立案通知书或者两名以上不具有近亲属关系的村民、居民签字证明等材料，证明连续二年及以上下落不明、与家庭失去联系的人员；</w:t>
      </w:r>
    </w:p>
    <w:p>
      <w:pPr>
        <w:widowControl/>
        <w:shd w:val="clear" w:color="auto" w:fill="FFFFFF"/>
        <w:spacing w:line="520" w:lineRule="atLeast"/>
        <w:ind w:firstLine="628"/>
        <w:jc w:val="left"/>
        <w:rPr>
          <w:rFonts w:hint="eastAsia" w:ascii="仿宋" w:hAnsi="仿宋" w:eastAsia="仿宋" w:cs="仿宋"/>
          <w:color w:val="333333"/>
          <w:kern w:val="0"/>
          <w:szCs w:val="21"/>
        </w:rPr>
      </w:pPr>
      <w:r>
        <w:rPr>
          <w:rFonts w:hint="eastAsia" w:ascii="仿宋" w:hAnsi="仿宋" w:eastAsia="仿宋" w:cs="仿宋"/>
          <w:color w:val="333333"/>
          <w:kern w:val="0"/>
          <w:sz w:val="32"/>
          <w:szCs w:val="32"/>
        </w:rPr>
        <w:t>（四）县级人民政府民政部门根据有关原则和程序认定的其他人员。</w:t>
      </w:r>
    </w:p>
    <w:p>
      <w:pPr>
        <w:widowControl/>
        <w:shd w:val="clear" w:color="auto" w:fill="FFFFFF"/>
        <w:spacing w:before="225" w:after="225" w:line="520" w:lineRule="atLeast"/>
        <w:ind w:firstLine="626"/>
        <w:jc w:val="left"/>
        <w:rPr>
          <w:rFonts w:hint="eastAsia" w:ascii="仿宋" w:hAnsi="仿宋" w:eastAsia="仿宋" w:cs="仿宋"/>
          <w:color w:val="333333"/>
          <w:kern w:val="0"/>
          <w:sz w:val="27"/>
          <w:szCs w:val="27"/>
        </w:rPr>
      </w:pPr>
      <w:r>
        <w:rPr>
          <w:rFonts w:hint="eastAsia" w:ascii="仿宋" w:hAnsi="仿宋" w:eastAsia="仿宋" w:cs="仿宋"/>
          <w:color w:val="333333"/>
          <w:kern w:val="0"/>
          <w:sz w:val="32"/>
          <w:szCs w:val="32"/>
        </w:rPr>
        <w:t>第三十九条 </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对在部队服现役的军官、士官和文职人员，应视为法定义务共同生活家庭成员，可以不授权核对，但应当按照相关薪金待遇计算赡养、抚养或扶养费用；在部队服现役的义务兵，不计入共同生活家庭成员和人均可支配收入。</w:t>
      </w:r>
    </w:p>
    <w:p>
      <w:pPr>
        <w:widowControl/>
        <w:shd w:val="clear" w:color="auto" w:fill="FFFFFF"/>
        <w:spacing w:before="225" w:after="225" w:line="520" w:lineRule="atLeast"/>
        <w:ind w:firstLine="626"/>
        <w:jc w:val="left"/>
        <w:rPr>
          <w:rFonts w:hint="eastAsia" w:ascii="仿宋" w:hAnsi="仿宋" w:eastAsia="仿宋" w:cs="仿宋"/>
          <w:color w:val="333333"/>
          <w:kern w:val="0"/>
          <w:sz w:val="27"/>
          <w:szCs w:val="27"/>
        </w:rPr>
      </w:pPr>
      <w:r>
        <w:rPr>
          <w:rFonts w:hint="eastAsia" w:ascii="仿宋" w:hAnsi="仿宋" w:eastAsia="仿宋" w:cs="仿宋"/>
          <w:color w:val="333333"/>
          <w:kern w:val="0"/>
          <w:sz w:val="32"/>
          <w:szCs w:val="32"/>
        </w:rPr>
        <w:t>第四十条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符合下列情形之一的，应当认定为本办法所称的无劳动能力：</w:t>
      </w:r>
    </w:p>
    <w:p>
      <w:pPr>
        <w:widowControl/>
        <w:shd w:val="clear" w:color="auto" w:fill="FFFFFF"/>
        <w:spacing w:before="225" w:after="225" w:line="520" w:lineRule="atLeast"/>
        <w:ind w:firstLine="626"/>
        <w:jc w:val="left"/>
        <w:rPr>
          <w:rFonts w:hint="eastAsia" w:ascii="仿宋" w:hAnsi="仿宋" w:eastAsia="仿宋" w:cs="仿宋"/>
          <w:color w:val="333333"/>
          <w:kern w:val="0"/>
          <w:sz w:val="27"/>
          <w:szCs w:val="27"/>
        </w:rPr>
      </w:pPr>
      <w:r>
        <w:rPr>
          <w:rFonts w:hint="eastAsia" w:ascii="仿宋" w:hAnsi="仿宋" w:eastAsia="仿宋" w:cs="仿宋"/>
          <w:color w:val="333333"/>
          <w:kern w:val="0"/>
          <w:sz w:val="32"/>
          <w:szCs w:val="32"/>
        </w:rPr>
        <w:t>（一）</w:t>
      </w:r>
      <w:r>
        <w:rPr>
          <w:rFonts w:hint="eastAsia" w:ascii="仿宋" w:hAnsi="仿宋" w:eastAsia="仿宋" w:cs="仿宋"/>
          <w:color w:val="333333"/>
          <w:kern w:val="0"/>
          <w:sz w:val="32"/>
          <w:szCs w:val="32"/>
        </w:rPr>
        <w:t>60</w:t>
      </w:r>
      <w:r>
        <w:rPr>
          <w:rFonts w:hint="eastAsia" w:ascii="仿宋" w:hAnsi="仿宋" w:eastAsia="仿宋" w:cs="仿宋"/>
          <w:color w:val="333333"/>
          <w:kern w:val="0"/>
          <w:sz w:val="32"/>
          <w:szCs w:val="32"/>
        </w:rPr>
        <w:t>周岁以上的老年人；</w:t>
      </w:r>
    </w:p>
    <w:p>
      <w:pPr>
        <w:widowControl/>
        <w:shd w:val="clear" w:color="auto" w:fill="FFFFFF"/>
        <w:spacing w:before="225" w:after="225" w:line="520" w:lineRule="atLeast"/>
        <w:ind w:firstLine="626"/>
        <w:jc w:val="left"/>
        <w:rPr>
          <w:rFonts w:hint="eastAsia" w:ascii="仿宋" w:hAnsi="仿宋" w:eastAsia="仿宋" w:cs="仿宋"/>
          <w:color w:val="333333"/>
          <w:kern w:val="0"/>
          <w:sz w:val="27"/>
          <w:szCs w:val="27"/>
        </w:rPr>
      </w:pPr>
      <w:r>
        <w:rPr>
          <w:rFonts w:hint="eastAsia" w:ascii="仿宋" w:hAnsi="仿宋" w:eastAsia="仿宋" w:cs="仿宋"/>
          <w:color w:val="333333"/>
          <w:kern w:val="0"/>
          <w:sz w:val="32"/>
          <w:szCs w:val="32"/>
        </w:rPr>
        <w:t>（二）未满</w:t>
      </w:r>
      <w:r>
        <w:rPr>
          <w:rFonts w:hint="eastAsia" w:ascii="仿宋" w:hAnsi="仿宋" w:eastAsia="仿宋" w:cs="仿宋"/>
          <w:color w:val="333333"/>
          <w:kern w:val="0"/>
          <w:sz w:val="32"/>
          <w:szCs w:val="32"/>
        </w:rPr>
        <w:t>16</w:t>
      </w:r>
      <w:r>
        <w:rPr>
          <w:rFonts w:hint="eastAsia" w:ascii="仿宋" w:hAnsi="仿宋" w:eastAsia="仿宋" w:cs="仿宋"/>
          <w:color w:val="333333"/>
          <w:kern w:val="0"/>
          <w:sz w:val="32"/>
          <w:szCs w:val="32"/>
        </w:rPr>
        <w:t>周岁的未成年人；</w:t>
      </w:r>
    </w:p>
    <w:p>
      <w:pPr>
        <w:widowControl/>
        <w:shd w:val="clear" w:color="auto" w:fill="FFFFFF"/>
        <w:spacing w:before="225" w:after="225" w:line="520" w:lineRule="atLeast"/>
        <w:ind w:firstLine="626"/>
        <w:jc w:val="left"/>
        <w:rPr>
          <w:rFonts w:hint="eastAsia" w:ascii="仿宋" w:hAnsi="仿宋" w:eastAsia="仿宋" w:cs="仿宋"/>
          <w:color w:val="333333"/>
          <w:kern w:val="0"/>
          <w:sz w:val="27"/>
          <w:szCs w:val="27"/>
        </w:rPr>
      </w:pPr>
      <w:r>
        <w:rPr>
          <w:rFonts w:hint="eastAsia" w:ascii="仿宋" w:hAnsi="仿宋" w:eastAsia="仿宋" w:cs="仿宋"/>
          <w:color w:val="333333"/>
          <w:kern w:val="0"/>
          <w:sz w:val="32"/>
          <w:szCs w:val="32"/>
        </w:rPr>
        <w:t>（三）残疾等级为一、二、三级的智力、精神残疾人，残疾等级为一、二级的肢体残疾人，残疾等级为一级的视力残疾人；</w:t>
      </w:r>
    </w:p>
    <w:p>
      <w:pPr>
        <w:widowControl/>
        <w:shd w:val="clear" w:color="auto" w:fill="FFFFFF"/>
        <w:spacing w:line="520" w:lineRule="atLeast"/>
        <w:ind w:firstLine="640"/>
        <w:rPr>
          <w:rFonts w:hint="eastAsia" w:ascii="仿宋" w:hAnsi="仿宋" w:eastAsia="仿宋" w:cs="仿宋"/>
          <w:color w:val="333333"/>
          <w:kern w:val="0"/>
          <w:szCs w:val="21"/>
        </w:rPr>
      </w:pPr>
      <w:r>
        <w:rPr>
          <w:rFonts w:hint="eastAsia" w:ascii="仿宋" w:hAnsi="仿宋" w:eastAsia="仿宋" w:cs="仿宋"/>
          <w:color w:val="333333"/>
          <w:kern w:val="0"/>
          <w:sz w:val="32"/>
          <w:szCs w:val="32"/>
        </w:rPr>
        <w:t>（四）因患重大疾病导致完全丧失劳动能力的人员；</w:t>
      </w:r>
    </w:p>
    <w:p>
      <w:pPr>
        <w:widowControl/>
        <w:shd w:val="clear" w:color="auto" w:fill="FFFFFF"/>
        <w:spacing w:before="225" w:after="225" w:line="520" w:lineRule="atLeast"/>
        <w:ind w:firstLine="626"/>
        <w:jc w:val="left"/>
        <w:rPr>
          <w:rFonts w:hint="eastAsia" w:ascii="仿宋" w:hAnsi="仿宋" w:eastAsia="仿宋" w:cs="仿宋"/>
          <w:color w:val="333333"/>
          <w:kern w:val="0"/>
          <w:sz w:val="27"/>
          <w:szCs w:val="27"/>
        </w:rPr>
      </w:pPr>
      <w:r>
        <w:rPr>
          <w:rFonts w:hint="eastAsia" w:ascii="仿宋" w:hAnsi="仿宋" w:eastAsia="仿宋" w:cs="仿宋"/>
          <w:color w:val="333333"/>
          <w:kern w:val="0"/>
          <w:sz w:val="32"/>
          <w:szCs w:val="32"/>
        </w:rPr>
        <w:t>（五）县级以上人民政府规定的其他情形。</w:t>
      </w:r>
    </w:p>
    <w:p>
      <w:pPr>
        <w:widowControl/>
        <w:shd w:val="clear" w:color="auto" w:fill="FFFFFF"/>
        <w:spacing w:before="225" w:after="225" w:line="520" w:lineRule="atLeast"/>
        <w:ind w:firstLine="626"/>
        <w:jc w:val="left"/>
        <w:rPr>
          <w:rFonts w:hint="eastAsia" w:ascii="仿宋" w:hAnsi="仿宋" w:eastAsia="仿宋" w:cs="仿宋"/>
          <w:color w:val="333333"/>
          <w:kern w:val="0"/>
          <w:sz w:val="27"/>
          <w:szCs w:val="27"/>
        </w:rPr>
      </w:pPr>
      <w:r>
        <w:rPr>
          <w:rFonts w:hint="eastAsia" w:ascii="仿宋" w:hAnsi="仿宋" w:eastAsia="仿宋" w:cs="仿宋"/>
          <w:color w:val="333333"/>
          <w:kern w:val="0"/>
          <w:sz w:val="32"/>
          <w:szCs w:val="32"/>
        </w:rPr>
        <w:t>第四十一条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法定义务人符合下列情形之一的，应当认定为本办法所称的无履行义务能力：</w:t>
      </w:r>
    </w:p>
    <w:p>
      <w:pPr>
        <w:widowControl/>
        <w:shd w:val="clear" w:color="auto" w:fill="FFFFFF"/>
        <w:spacing w:before="225" w:after="225" w:line="520" w:lineRule="atLeast"/>
        <w:ind w:firstLine="626"/>
        <w:jc w:val="left"/>
        <w:rPr>
          <w:rFonts w:hint="eastAsia" w:ascii="仿宋" w:hAnsi="仿宋" w:eastAsia="仿宋" w:cs="仿宋"/>
          <w:color w:val="333333"/>
          <w:kern w:val="0"/>
          <w:sz w:val="27"/>
          <w:szCs w:val="27"/>
        </w:rPr>
      </w:pPr>
      <w:r>
        <w:rPr>
          <w:rFonts w:hint="eastAsia" w:ascii="仿宋" w:hAnsi="仿宋" w:eastAsia="仿宋" w:cs="仿宋"/>
          <w:color w:val="333333"/>
          <w:kern w:val="0"/>
          <w:sz w:val="32"/>
          <w:szCs w:val="32"/>
        </w:rPr>
        <w:t>（一）特困人员；</w:t>
      </w:r>
    </w:p>
    <w:p>
      <w:pPr>
        <w:widowControl/>
        <w:shd w:val="clear" w:color="auto" w:fill="FFFFFF"/>
        <w:spacing w:before="225" w:after="225" w:line="520" w:lineRule="atLeast"/>
        <w:ind w:firstLine="626"/>
        <w:jc w:val="left"/>
        <w:rPr>
          <w:rFonts w:hint="eastAsia" w:ascii="仿宋" w:hAnsi="仿宋" w:eastAsia="仿宋" w:cs="仿宋"/>
          <w:color w:val="333333"/>
          <w:kern w:val="0"/>
          <w:sz w:val="27"/>
          <w:szCs w:val="27"/>
        </w:rPr>
      </w:pPr>
      <w:r>
        <w:rPr>
          <w:rFonts w:hint="eastAsia" w:ascii="仿宋" w:hAnsi="仿宋" w:eastAsia="仿宋" w:cs="仿宋"/>
          <w:color w:val="333333"/>
          <w:kern w:val="0"/>
          <w:sz w:val="32"/>
          <w:szCs w:val="32"/>
        </w:rPr>
        <w:t>（二）</w:t>
      </w:r>
      <w:r>
        <w:rPr>
          <w:rFonts w:hint="eastAsia" w:ascii="仿宋" w:hAnsi="仿宋" w:eastAsia="仿宋" w:cs="仿宋"/>
          <w:color w:val="333333"/>
          <w:kern w:val="0"/>
          <w:sz w:val="32"/>
          <w:szCs w:val="32"/>
        </w:rPr>
        <w:t>60</w:t>
      </w:r>
      <w:r>
        <w:rPr>
          <w:rFonts w:hint="eastAsia" w:ascii="仿宋" w:hAnsi="仿宋" w:eastAsia="仿宋" w:cs="仿宋"/>
          <w:color w:val="333333"/>
          <w:kern w:val="0"/>
          <w:sz w:val="32"/>
          <w:szCs w:val="32"/>
        </w:rPr>
        <w:t>周岁以上的最低生活保障对象；</w:t>
      </w:r>
    </w:p>
    <w:p>
      <w:pPr>
        <w:widowControl/>
        <w:shd w:val="clear" w:color="auto" w:fill="FFFFFF"/>
        <w:spacing w:before="225" w:after="225" w:line="520" w:lineRule="atLeast"/>
        <w:ind w:firstLine="626"/>
        <w:jc w:val="left"/>
        <w:rPr>
          <w:rFonts w:hint="eastAsia" w:ascii="仿宋" w:hAnsi="仿宋" w:eastAsia="仿宋" w:cs="仿宋"/>
          <w:color w:val="333333"/>
          <w:kern w:val="0"/>
          <w:sz w:val="27"/>
          <w:szCs w:val="27"/>
        </w:rPr>
      </w:pPr>
      <w:r>
        <w:rPr>
          <w:rFonts w:hint="eastAsia" w:ascii="仿宋" w:hAnsi="仿宋" w:eastAsia="仿宋" w:cs="仿宋"/>
          <w:color w:val="333333"/>
          <w:kern w:val="0"/>
          <w:sz w:val="32"/>
          <w:szCs w:val="32"/>
        </w:rPr>
        <w:t>（三）</w:t>
      </w:r>
      <w:r>
        <w:rPr>
          <w:rFonts w:hint="eastAsia" w:ascii="仿宋" w:hAnsi="仿宋" w:eastAsia="仿宋" w:cs="仿宋"/>
          <w:color w:val="333333"/>
          <w:kern w:val="0"/>
          <w:sz w:val="32"/>
          <w:szCs w:val="32"/>
        </w:rPr>
        <w:t>70</w:t>
      </w:r>
      <w:r>
        <w:rPr>
          <w:rFonts w:hint="eastAsia" w:ascii="仿宋" w:hAnsi="仿宋" w:eastAsia="仿宋" w:cs="仿宋"/>
          <w:color w:val="333333"/>
          <w:kern w:val="0"/>
          <w:sz w:val="32"/>
          <w:szCs w:val="32"/>
        </w:rPr>
        <w:t>周岁以上的老年人，本人收入低于当地上年人均可支配收入，且其财产符合当地低保边缘家庭财产状况规定的；</w:t>
      </w:r>
    </w:p>
    <w:p>
      <w:pPr>
        <w:widowControl/>
        <w:shd w:val="clear" w:color="auto" w:fill="FFFFFF"/>
        <w:spacing w:before="225" w:after="225" w:line="520" w:lineRule="atLeast"/>
        <w:ind w:firstLine="626"/>
        <w:jc w:val="left"/>
        <w:rPr>
          <w:rFonts w:hint="eastAsia" w:ascii="仿宋" w:hAnsi="仿宋" w:eastAsia="仿宋" w:cs="仿宋"/>
          <w:color w:val="333333"/>
          <w:kern w:val="0"/>
          <w:sz w:val="27"/>
          <w:szCs w:val="27"/>
        </w:rPr>
      </w:pPr>
      <w:r>
        <w:rPr>
          <w:rFonts w:hint="eastAsia" w:ascii="仿宋" w:hAnsi="仿宋" w:eastAsia="仿宋" w:cs="仿宋"/>
          <w:color w:val="333333"/>
          <w:kern w:val="0"/>
          <w:sz w:val="32"/>
          <w:szCs w:val="32"/>
        </w:rPr>
        <w:t>（四）重度残疾人（一级、二级）和残疾等级为三级的智力、精神残疾人，本人收入低于当地上年人均可支配收入，且其财产符合当地低保边缘家庭财产状况规定的；</w:t>
      </w:r>
    </w:p>
    <w:p>
      <w:pPr>
        <w:widowControl/>
        <w:shd w:val="clear" w:color="auto" w:fill="FFFFFF"/>
        <w:spacing w:before="225" w:after="225" w:line="520" w:lineRule="atLeast"/>
        <w:ind w:firstLine="626"/>
        <w:jc w:val="left"/>
        <w:rPr>
          <w:rFonts w:hint="eastAsia" w:ascii="仿宋" w:hAnsi="仿宋" w:eastAsia="仿宋" w:cs="仿宋"/>
          <w:color w:val="333333"/>
          <w:kern w:val="0"/>
          <w:sz w:val="27"/>
          <w:szCs w:val="27"/>
        </w:rPr>
      </w:pPr>
      <w:r>
        <w:rPr>
          <w:rFonts w:hint="eastAsia" w:ascii="仿宋" w:hAnsi="仿宋" w:eastAsia="仿宋" w:cs="仿宋"/>
          <w:color w:val="333333"/>
          <w:kern w:val="0"/>
          <w:sz w:val="32"/>
          <w:szCs w:val="32"/>
        </w:rPr>
        <w:t>（五）因患重大疾病导致完全丧失劳动能力，本人收入低于当地上年人均可支配收入，且其财产状况符合低保边缘家庭财产状况规定的；</w:t>
      </w:r>
    </w:p>
    <w:p>
      <w:pPr>
        <w:widowControl/>
        <w:shd w:val="clear" w:color="auto" w:fill="FFFFFF"/>
        <w:spacing w:before="225" w:after="225" w:line="520" w:lineRule="atLeast"/>
        <w:ind w:firstLine="626"/>
        <w:jc w:val="left"/>
        <w:rPr>
          <w:rFonts w:hint="eastAsia" w:ascii="仿宋" w:hAnsi="仿宋" w:eastAsia="仿宋" w:cs="仿宋"/>
          <w:color w:val="333333"/>
          <w:kern w:val="0"/>
          <w:sz w:val="27"/>
          <w:szCs w:val="27"/>
        </w:rPr>
      </w:pPr>
      <w:r>
        <w:rPr>
          <w:rFonts w:hint="eastAsia" w:ascii="仿宋" w:hAnsi="仿宋" w:eastAsia="仿宋" w:cs="仿宋"/>
          <w:color w:val="333333"/>
          <w:kern w:val="0"/>
          <w:sz w:val="32"/>
          <w:szCs w:val="32"/>
        </w:rPr>
        <w:t>（六）无民事行为能力、被宣告失踪或者在监狱服刑的人员，且其财产符合当地低保边缘家庭财产状况规定的；</w:t>
      </w:r>
    </w:p>
    <w:p>
      <w:pPr>
        <w:widowControl/>
        <w:shd w:val="clear" w:color="auto" w:fill="FFFFFF"/>
        <w:spacing w:before="225" w:after="225" w:line="520" w:lineRule="atLeast"/>
        <w:ind w:firstLine="626"/>
        <w:jc w:val="left"/>
        <w:rPr>
          <w:rFonts w:hint="eastAsia" w:ascii="仿宋" w:hAnsi="仿宋" w:eastAsia="仿宋" w:cs="仿宋"/>
          <w:color w:val="333333"/>
          <w:kern w:val="0"/>
          <w:sz w:val="27"/>
          <w:szCs w:val="27"/>
        </w:rPr>
      </w:pPr>
      <w:r>
        <w:rPr>
          <w:rFonts w:hint="eastAsia" w:ascii="仿宋" w:hAnsi="仿宋" w:eastAsia="仿宋" w:cs="仿宋"/>
          <w:color w:val="333333"/>
          <w:kern w:val="0"/>
          <w:sz w:val="32"/>
          <w:szCs w:val="32"/>
        </w:rPr>
        <w:t>（七）县级以上人民政府规定的其他情形。</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同时符合特困人员救助供养条件和孤儿、事实无人抚养儿童认定条件的未成年人，选择申请纳入孤儿、事实无人抚养儿童基本生活保障范围的，不再认定为特困人员。纳入特困人员救助供养范围的，不再纳入最低生活保障范围。</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特困人员中的未成年人，可继续享有救助供养待遇至</w:t>
      </w:r>
      <w:r>
        <w:rPr>
          <w:rFonts w:hint="eastAsia" w:ascii="仿宋" w:hAnsi="仿宋" w:eastAsia="仿宋" w:cs="仿宋"/>
          <w:color w:val="333333"/>
          <w:kern w:val="0"/>
          <w:sz w:val="32"/>
          <w:szCs w:val="32"/>
        </w:rPr>
        <w:t>18</w:t>
      </w:r>
      <w:r>
        <w:rPr>
          <w:rFonts w:hint="eastAsia" w:ascii="仿宋" w:hAnsi="仿宋" w:eastAsia="仿宋" w:cs="仿宋"/>
          <w:color w:val="333333"/>
          <w:kern w:val="0"/>
          <w:sz w:val="32"/>
          <w:szCs w:val="32"/>
        </w:rPr>
        <w:t>周岁，满</w:t>
      </w:r>
      <w:r>
        <w:rPr>
          <w:rFonts w:hint="eastAsia" w:ascii="仿宋" w:hAnsi="仿宋" w:eastAsia="仿宋" w:cs="仿宋"/>
          <w:color w:val="333333"/>
          <w:kern w:val="0"/>
          <w:sz w:val="32"/>
          <w:szCs w:val="32"/>
        </w:rPr>
        <w:t>18</w:t>
      </w:r>
      <w:r>
        <w:rPr>
          <w:rFonts w:hint="eastAsia" w:ascii="仿宋" w:hAnsi="仿宋" w:eastAsia="仿宋" w:cs="仿宋"/>
          <w:color w:val="333333"/>
          <w:kern w:val="0"/>
          <w:sz w:val="32"/>
          <w:szCs w:val="32"/>
        </w:rPr>
        <w:t>周岁后仍在接受义务教育或者在普通高中、中等职业学校就读的，应当继续给予救助供养。</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第四十二条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家庭收入主要包括：</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（一）工资性收入。包括因任职或受雇而取得的工资、薪金、奖金和劳动分红、津贴、补贴、离退休金、失业保险金等，还包括因任职或受雇有关的其他所得。</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（二）家庭经营纯收入。包括从事种植业、养殖业、捕捞业等农副业生产的劳动收入，从事手工业、餐饮业、批发和零售业、建筑业、交通运输业等的收入，从事土地承包、承租经营以及转包、转租经营收入。</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（三）财产性收入。包括利息、股息、红利和保险投资等收入，出租出让固定资产和无形资产、特许权等收入。</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四）转移性收入。包括赡养费、抚养费、扶养费，继承性所得、赠与性所得、偶然性所得，村（组）集体经济分配收益、粮补、退耕还林补贴等，精简退职职工定期救济和遗属生活补助、一次性安置费、经济补偿款、生活补偿（助）费等。</w:t>
      </w:r>
    </w:p>
    <w:p>
      <w:pPr>
        <w:widowControl/>
        <w:shd w:val="clear" w:color="auto" w:fill="FFFFFF"/>
        <w:spacing w:before="225" w:after="225" w:line="520" w:lineRule="atLeast"/>
        <w:ind w:firstLine="642"/>
        <w:jc w:val="left"/>
        <w:rPr>
          <w:rFonts w:hint="eastAsia" w:ascii="仿宋" w:hAnsi="仿宋" w:eastAsia="仿宋" w:cs="仿宋"/>
          <w:color w:val="333333"/>
          <w:kern w:val="0"/>
          <w:sz w:val="27"/>
          <w:szCs w:val="27"/>
        </w:rPr>
      </w:pPr>
      <w:r>
        <w:rPr>
          <w:rFonts w:hint="eastAsia" w:ascii="仿宋" w:hAnsi="仿宋" w:eastAsia="仿宋" w:cs="仿宋"/>
          <w:color w:val="333333"/>
          <w:spacing w:val="4"/>
          <w:kern w:val="0"/>
          <w:sz w:val="32"/>
          <w:szCs w:val="32"/>
        </w:rPr>
        <w:t>（五）县级以上人民政府规定应计入家庭成员收入的其他项目。</w:t>
      </w:r>
    </w:p>
    <w:p>
      <w:pPr>
        <w:widowControl/>
        <w:shd w:val="clear" w:color="auto" w:fill="FFFFFF"/>
        <w:spacing w:before="225" w:after="225" w:line="520" w:lineRule="atLeast"/>
        <w:ind w:firstLine="626"/>
        <w:jc w:val="left"/>
        <w:rPr>
          <w:rFonts w:hint="eastAsia" w:ascii="仿宋" w:hAnsi="仿宋" w:eastAsia="仿宋" w:cs="仿宋"/>
          <w:color w:val="333333"/>
          <w:kern w:val="0"/>
          <w:sz w:val="27"/>
          <w:szCs w:val="27"/>
        </w:rPr>
      </w:pPr>
      <w:r>
        <w:rPr>
          <w:rFonts w:hint="eastAsia" w:ascii="仿宋" w:hAnsi="仿宋" w:eastAsia="仿宋" w:cs="仿宋"/>
          <w:color w:val="333333"/>
          <w:kern w:val="0"/>
          <w:sz w:val="32"/>
          <w:szCs w:val="32"/>
        </w:rPr>
        <w:t>第四十三条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家庭财产主要包括：</w:t>
      </w:r>
    </w:p>
    <w:p>
      <w:pPr>
        <w:widowControl/>
        <w:shd w:val="clear" w:color="auto" w:fill="FFFFFF"/>
        <w:spacing w:before="225" w:after="225" w:line="520" w:lineRule="atLeast"/>
        <w:ind w:firstLine="626"/>
        <w:jc w:val="left"/>
        <w:rPr>
          <w:rFonts w:hint="eastAsia" w:ascii="仿宋" w:hAnsi="仿宋" w:eastAsia="仿宋" w:cs="仿宋"/>
          <w:color w:val="333333"/>
          <w:kern w:val="0"/>
          <w:sz w:val="27"/>
          <w:szCs w:val="27"/>
        </w:rPr>
      </w:pPr>
      <w:r>
        <w:rPr>
          <w:rFonts w:hint="eastAsia" w:ascii="仿宋" w:hAnsi="仿宋" w:eastAsia="仿宋" w:cs="仿宋"/>
          <w:color w:val="333333"/>
          <w:kern w:val="0"/>
          <w:sz w:val="32"/>
          <w:szCs w:val="32"/>
        </w:rPr>
        <w:t>（一）金融性资产。包括现金、存款以及有价证券等；</w:t>
      </w:r>
    </w:p>
    <w:p>
      <w:pPr>
        <w:widowControl/>
        <w:shd w:val="clear" w:color="auto" w:fill="FFFFFF"/>
        <w:spacing w:before="225" w:after="225" w:line="520" w:lineRule="atLeast"/>
        <w:ind w:firstLine="626"/>
        <w:jc w:val="left"/>
        <w:rPr>
          <w:rFonts w:hint="eastAsia" w:ascii="仿宋" w:hAnsi="仿宋" w:eastAsia="仿宋" w:cs="仿宋"/>
          <w:color w:val="333333"/>
          <w:kern w:val="0"/>
          <w:sz w:val="27"/>
          <w:szCs w:val="27"/>
        </w:rPr>
      </w:pPr>
      <w:r>
        <w:rPr>
          <w:rFonts w:hint="eastAsia" w:ascii="仿宋" w:hAnsi="仿宋" w:eastAsia="仿宋" w:cs="仿宋"/>
          <w:color w:val="333333"/>
          <w:kern w:val="0"/>
          <w:sz w:val="32"/>
          <w:szCs w:val="32"/>
        </w:rPr>
        <w:t>（二）不动产。是指土地、房屋、林木等定着物；</w:t>
      </w:r>
    </w:p>
    <w:p>
      <w:pPr>
        <w:widowControl/>
        <w:shd w:val="clear" w:color="auto" w:fill="FFFFFF"/>
        <w:spacing w:before="225" w:after="225" w:line="520" w:lineRule="atLeast"/>
        <w:ind w:firstLine="626"/>
        <w:jc w:val="left"/>
        <w:rPr>
          <w:rFonts w:hint="eastAsia" w:ascii="仿宋" w:hAnsi="仿宋" w:eastAsia="仿宋" w:cs="仿宋"/>
          <w:color w:val="333333"/>
          <w:kern w:val="0"/>
          <w:sz w:val="27"/>
          <w:szCs w:val="27"/>
        </w:rPr>
      </w:pPr>
      <w:r>
        <w:rPr>
          <w:rFonts w:hint="eastAsia" w:ascii="仿宋" w:hAnsi="仿宋" w:eastAsia="仿宋" w:cs="仿宋"/>
          <w:color w:val="333333"/>
          <w:kern w:val="0"/>
          <w:sz w:val="32"/>
          <w:szCs w:val="32"/>
        </w:rPr>
        <w:t>（三）生产资料。包括机动车辆、船舶和大型农机具（收割机、拖拉机、机动脱粒机等）；</w:t>
      </w:r>
    </w:p>
    <w:p>
      <w:pPr>
        <w:widowControl/>
        <w:shd w:val="clear" w:color="auto" w:fill="FFFFFF"/>
        <w:spacing w:before="225" w:after="225" w:line="520" w:lineRule="atLeast"/>
        <w:ind w:firstLine="626"/>
        <w:jc w:val="left"/>
        <w:rPr>
          <w:rFonts w:hint="eastAsia" w:ascii="仿宋" w:hAnsi="仿宋" w:eastAsia="仿宋" w:cs="仿宋"/>
          <w:color w:val="333333"/>
          <w:kern w:val="0"/>
          <w:sz w:val="27"/>
          <w:szCs w:val="27"/>
        </w:rPr>
      </w:pPr>
      <w:r>
        <w:rPr>
          <w:rFonts w:hint="eastAsia" w:ascii="仿宋" w:hAnsi="仿宋" w:eastAsia="仿宋" w:cs="仿宋"/>
          <w:color w:val="333333"/>
          <w:kern w:val="0"/>
          <w:sz w:val="32"/>
          <w:szCs w:val="32"/>
        </w:rPr>
        <w:t>（四）非生活必需的高价值物品；</w:t>
      </w:r>
    </w:p>
    <w:p>
      <w:pPr>
        <w:widowControl/>
        <w:shd w:val="clear" w:color="auto" w:fill="FFFFFF"/>
        <w:spacing w:before="225" w:after="225" w:line="520" w:lineRule="atLeast"/>
        <w:ind w:firstLine="626"/>
        <w:jc w:val="left"/>
        <w:rPr>
          <w:rFonts w:hint="eastAsia" w:ascii="仿宋" w:hAnsi="仿宋" w:eastAsia="仿宋" w:cs="仿宋"/>
          <w:color w:val="333333"/>
          <w:kern w:val="0"/>
          <w:sz w:val="27"/>
          <w:szCs w:val="27"/>
        </w:rPr>
      </w:pPr>
      <w:r>
        <w:rPr>
          <w:rFonts w:hint="eastAsia" w:ascii="仿宋" w:hAnsi="仿宋" w:eastAsia="仿宋" w:cs="仿宋"/>
          <w:color w:val="333333"/>
          <w:kern w:val="0"/>
          <w:sz w:val="32"/>
          <w:szCs w:val="32"/>
        </w:rPr>
        <w:t>（五）债权和其他财产。</w:t>
      </w:r>
    </w:p>
    <w:p>
      <w:pPr>
        <w:widowControl/>
        <w:shd w:val="clear" w:color="auto" w:fill="FFFFFF"/>
        <w:spacing w:before="225" w:after="225" w:line="520" w:lineRule="atLeast"/>
        <w:ind w:firstLine="626"/>
        <w:jc w:val="left"/>
        <w:rPr>
          <w:rFonts w:hint="eastAsia" w:ascii="仿宋" w:hAnsi="仿宋" w:eastAsia="仿宋" w:cs="仿宋"/>
          <w:color w:val="333333"/>
          <w:kern w:val="0"/>
          <w:sz w:val="27"/>
          <w:szCs w:val="27"/>
        </w:rPr>
      </w:pPr>
      <w:r>
        <w:rPr>
          <w:rFonts w:hint="eastAsia" w:ascii="仿宋" w:hAnsi="仿宋" w:eastAsia="仿宋" w:cs="仿宋"/>
          <w:color w:val="333333"/>
          <w:kern w:val="0"/>
          <w:sz w:val="32"/>
          <w:szCs w:val="32"/>
        </w:rPr>
        <w:t>第四十四条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共同生活的家庭成员的收入符合下列情形之一的，可不计入家庭可支配收入，审核确认时视情予以豁免：</w:t>
      </w:r>
    </w:p>
    <w:p>
      <w:pPr>
        <w:widowControl/>
        <w:shd w:val="clear" w:color="auto" w:fill="FFFFFF"/>
        <w:spacing w:before="225" w:after="225" w:line="520" w:lineRule="atLeast"/>
        <w:ind w:firstLine="626"/>
        <w:jc w:val="left"/>
        <w:rPr>
          <w:rFonts w:hint="eastAsia" w:ascii="仿宋" w:hAnsi="仿宋" w:eastAsia="仿宋" w:cs="仿宋"/>
          <w:color w:val="333333"/>
          <w:kern w:val="0"/>
          <w:sz w:val="27"/>
          <w:szCs w:val="27"/>
        </w:rPr>
      </w:pPr>
      <w:r>
        <w:rPr>
          <w:rFonts w:hint="eastAsia" w:ascii="仿宋" w:hAnsi="仿宋" w:eastAsia="仿宋" w:cs="仿宋"/>
          <w:color w:val="333333"/>
          <w:kern w:val="0"/>
          <w:sz w:val="32"/>
          <w:szCs w:val="32"/>
        </w:rPr>
        <w:t>（一）国家给予优抚对象和其他人员的特殊照顾待遇。包括优抚对象享受的抚恤金、补助金、优待金，贫困残疾人的生活补助和重度残疾人的护理补贴，高龄老人津贴，中华人民共和国成立前</w:t>
      </w:r>
      <w:bookmarkStart w:id="0" w:name="_GoBack"/>
      <w:bookmarkEnd w:id="0"/>
      <w:r>
        <w:rPr>
          <w:rFonts w:hint="eastAsia" w:ascii="仿宋" w:hAnsi="仿宋" w:eastAsia="仿宋" w:cs="仿宋"/>
          <w:color w:val="333333"/>
          <w:kern w:val="0"/>
          <w:sz w:val="32"/>
          <w:szCs w:val="32"/>
        </w:rPr>
        <w:t>入党的农村老党员和未享受离退休待遇的城镇老党员、老游击队员、老交通员的定期补助等；</w:t>
      </w:r>
    </w:p>
    <w:p>
      <w:pPr>
        <w:widowControl/>
        <w:shd w:val="clear" w:color="auto" w:fill="FFFFFF"/>
        <w:spacing w:before="225" w:after="225" w:line="520" w:lineRule="atLeast"/>
        <w:ind w:firstLine="626"/>
        <w:jc w:val="left"/>
        <w:rPr>
          <w:rFonts w:hint="eastAsia" w:ascii="仿宋" w:hAnsi="仿宋" w:eastAsia="仿宋" w:cs="仿宋"/>
          <w:color w:val="333333"/>
          <w:kern w:val="0"/>
          <w:sz w:val="27"/>
          <w:szCs w:val="27"/>
        </w:rPr>
      </w:pPr>
      <w:r>
        <w:rPr>
          <w:rFonts w:hint="eastAsia" w:ascii="仿宋" w:hAnsi="仿宋" w:eastAsia="仿宋" w:cs="仿宋"/>
          <w:color w:val="333333"/>
          <w:kern w:val="0"/>
          <w:sz w:val="32"/>
          <w:szCs w:val="32"/>
        </w:rPr>
        <w:t>（二）国家、社会及有关单位颁发的非报酬性奖励。包括劳动模范荣誉津贴、奖学金、见义勇为奖金、独生子女费、计划生育奖励与扶助金等；</w:t>
      </w:r>
    </w:p>
    <w:p>
      <w:pPr>
        <w:widowControl/>
        <w:shd w:val="clear" w:color="auto" w:fill="FFFFFF"/>
        <w:spacing w:before="225" w:after="225" w:line="520" w:lineRule="atLeast"/>
        <w:ind w:firstLine="626"/>
        <w:jc w:val="left"/>
        <w:rPr>
          <w:rFonts w:hint="eastAsia" w:ascii="仿宋" w:hAnsi="仿宋" w:eastAsia="仿宋" w:cs="仿宋"/>
          <w:color w:val="333333"/>
          <w:kern w:val="0"/>
          <w:sz w:val="27"/>
          <w:szCs w:val="27"/>
        </w:rPr>
      </w:pPr>
      <w:r>
        <w:rPr>
          <w:rFonts w:hint="eastAsia" w:ascii="仿宋" w:hAnsi="仿宋" w:eastAsia="仿宋" w:cs="仿宋"/>
          <w:color w:val="333333"/>
          <w:kern w:val="0"/>
          <w:sz w:val="32"/>
          <w:szCs w:val="32"/>
        </w:rPr>
        <w:t>（三）国家、社会及有关单位给予工伤人员的有特定用途的补助资金。包括工伤人员的医疗费、护理费、一次性伤残补助金、抚恤金、残疾辅助器具费、丧葬费；</w:t>
      </w:r>
    </w:p>
    <w:p>
      <w:pPr>
        <w:widowControl/>
        <w:shd w:val="clear" w:color="auto" w:fill="FFFFFF"/>
        <w:spacing w:before="225" w:after="225" w:line="520" w:lineRule="atLeast"/>
        <w:ind w:firstLine="626"/>
        <w:jc w:val="left"/>
        <w:rPr>
          <w:rFonts w:hint="eastAsia" w:ascii="仿宋" w:hAnsi="仿宋" w:eastAsia="仿宋" w:cs="仿宋"/>
          <w:color w:val="333333"/>
          <w:kern w:val="0"/>
          <w:sz w:val="27"/>
          <w:szCs w:val="27"/>
        </w:rPr>
      </w:pPr>
      <w:r>
        <w:rPr>
          <w:rFonts w:hint="eastAsia" w:ascii="仿宋" w:hAnsi="仿宋" w:eastAsia="仿宋" w:cs="仿宋"/>
          <w:color w:val="333333"/>
          <w:kern w:val="0"/>
          <w:sz w:val="32"/>
          <w:szCs w:val="32"/>
        </w:rPr>
        <w:t>（四）国家、社会及有关单位给予困难群体的社会救助资金。包括住房、医疗、教育、司法、养老、康复、托养、临时性救助等救助金；</w:t>
      </w:r>
    </w:p>
    <w:p>
      <w:pPr>
        <w:widowControl/>
        <w:shd w:val="clear" w:color="auto" w:fill="FFFFFF"/>
        <w:spacing w:before="225" w:after="225" w:line="520" w:lineRule="atLeast"/>
        <w:ind w:firstLine="626"/>
        <w:jc w:val="left"/>
        <w:rPr>
          <w:rFonts w:hint="eastAsia" w:ascii="仿宋" w:hAnsi="仿宋" w:eastAsia="仿宋" w:cs="仿宋"/>
          <w:color w:val="333333"/>
          <w:kern w:val="0"/>
          <w:sz w:val="27"/>
          <w:szCs w:val="27"/>
        </w:rPr>
      </w:pPr>
      <w:r>
        <w:rPr>
          <w:rFonts w:hint="eastAsia" w:ascii="仿宋" w:hAnsi="仿宋" w:eastAsia="仿宋" w:cs="仿宋"/>
          <w:color w:val="333333"/>
          <w:kern w:val="0"/>
          <w:sz w:val="32"/>
          <w:szCs w:val="32"/>
        </w:rPr>
        <w:t>（五）“十四五”期间，中央确定的城乡居民基本养老保险基础养老金暂不计入家庭收入。家庭成员必需的就业成本和因残疾、患重病等增加的必需刚性支出。</w:t>
      </w:r>
    </w:p>
    <w:p>
      <w:pPr>
        <w:widowControl/>
        <w:shd w:val="clear" w:color="auto" w:fill="FFFFFF"/>
        <w:spacing w:before="225" w:after="225" w:line="520" w:lineRule="atLeast"/>
        <w:ind w:firstLine="626"/>
        <w:jc w:val="left"/>
        <w:rPr>
          <w:rFonts w:hint="eastAsia" w:ascii="仿宋" w:hAnsi="仿宋" w:eastAsia="仿宋" w:cs="仿宋"/>
          <w:color w:val="333333"/>
          <w:kern w:val="0"/>
          <w:sz w:val="27"/>
          <w:szCs w:val="27"/>
        </w:rPr>
      </w:pPr>
      <w:r>
        <w:rPr>
          <w:rFonts w:hint="eastAsia" w:ascii="仿宋" w:hAnsi="仿宋" w:eastAsia="仿宋" w:cs="仿宋"/>
          <w:color w:val="333333"/>
          <w:kern w:val="0"/>
          <w:sz w:val="32"/>
          <w:szCs w:val="32"/>
        </w:rPr>
        <w:t>（六）县级以上人民政府规定不计入的其他收入。</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第四十五条 </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共同生活的家庭成员的财产状况符合下列情形之一的，经调查核实，可以视为维持家庭生产生活的必需财产，审核确认时视情予以豁免：</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（一）拥有作为唯一谋生工具的小型经营性车辆；</w:t>
      </w:r>
    </w:p>
    <w:p>
      <w:pPr>
        <w:widowControl/>
        <w:shd w:val="clear" w:color="auto" w:fill="FFFFFF"/>
        <w:spacing w:line="520" w:lineRule="atLeast"/>
        <w:ind w:firstLine="612"/>
        <w:rPr>
          <w:rFonts w:hint="eastAsia" w:ascii="仿宋" w:hAnsi="仿宋" w:eastAsia="仿宋" w:cs="仿宋"/>
          <w:color w:val="333333"/>
          <w:kern w:val="0"/>
          <w:szCs w:val="21"/>
        </w:rPr>
      </w:pPr>
      <w:r>
        <w:rPr>
          <w:rFonts w:hint="eastAsia" w:ascii="仿宋" w:hAnsi="仿宋" w:eastAsia="仿宋" w:cs="仿宋"/>
          <w:color w:val="333333"/>
          <w:spacing w:val="-4"/>
          <w:kern w:val="0"/>
          <w:sz w:val="32"/>
          <w:szCs w:val="32"/>
        </w:rPr>
        <w:t>（二）无住房，但有唯一一处商铺、厂房、酒店式公寓等非居住用途不动产，并将该非居住用途不动产作为家庭唯一居住场所，且家庭人均建筑面积低于户籍所在地上年度居民人均建筑面积；</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（三）有大额存款且累计持有时间未超过</w:t>
      </w:r>
      <w:r>
        <w:rPr>
          <w:rFonts w:hint="eastAsia" w:ascii="仿宋" w:hAnsi="仿宋" w:eastAsia="仿宋" w:cs="仿宋"/>
          <w:color w:val="333333"/>
          <w:kern w:val="0"/>
          <w:sz w:val="32"/>
          <w:szCs w:val="32"/>
        </w:rPr>
        <w:t>12</w:t>
      </w:r>
      <w:r>
        <w:rPr>
          <w:rFonts w:hint="eastAsia" w:ascii="仿宋" w:hAnsi="仿宋" w:eastAsia="仿宋" w:cs="仿宋"/>
          <w:color w:val="333333"/>
          <w:kern w:val="0"/>
          <w:sz w:val="32"/>
          <w:szCs w:val="32"/>
        </w:rPr>
        <w:t>个月，能够提供自申请或者动态管理之日起前</w:t>
      </w:r>
      <w:r>
        <w:rPr>
          <w:rFonts w:hint="eastAsia" w:ascii="仿宋" w:hAnsi="仿宋" w:eastAsia="仿宋" w:cs="仿宋"/>
          <w:color w:val="333333"/>
          <w:kern w:val="0"/>
          <w:sz w:val="32"/>
          <w:szCs w:val="32"/>
        </w:rPr>
        <w:t>12</w:t>
      </w:r>
      <w:r>
        <w:rPr>
          <w:rFonts w:hint="eastAsia" w:ascii="仿宋" w:hAnsi="仿宋" w:eastAsia="仿宋" w:cs="仿宋"/>
          <w:color w:val="333333"/>
          <w:kern w:val="0"/>
          <w:sz w:val="32"/>
          <w:szCs w:val="32"/>
        </w:rPr>
        <w:t>个月内三级乙等及以上级别医院开具的医学诊断证明书、治疗方案等医学证明材料，确认存款用于治疗重大疾病的，可以按照该病种平均医疗费用酌情予以豁免；</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（四）有工商登记，但投资经营规模较小且无雇员，或者属于乡村振兴部门认定的帮扶对象统一参加当地合作社、集体所有制企业等经济组织；</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（五）县级以上人民政府民政部门规定的其他情形。</w:t>
      </w:r>
    </w:p>
    <w:p>
      <w:pPr>
        <w:widowControl/>
        <w:shd w:val="clear" w:color="auto" w:fill="FFFFFF"/>
        <w:spacing w:line="520" w:lineRule="atLeast"/>
        <w:ind w:firstLine="628"/>
        <w:jc w:val="left"/>
        <w:rPr>
          <w:rFonts w:hint="eastAsia" w:ascii="仿宋" w:hAnsi="仿宋" w:eastAsia="仿宋" w:cs="仿宋"/>
          <w:color w:val="333333"/>
          <w:kern w:val="0"/>
          <w:szCs w:val="21"/>
        </w:rPr>
      </w:pPr>
      <w:r>
        <w:rPr>
          <w:rFonts w:hint="eastAsia" w:ascii="仿宋" w:hAnsi="仿宋" w:eastAsia="仿宋" w:cs="仿宋"/>
          <w:color w:val="333333"/>
          <w:kern w:val="0"/>
          <w:sz w:val="32"/>
          <w:szCs w:val="32"/>
        </w:rPr>
        <w:t>第四十六条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各县（市、区）人民政府民政部门可以根据本办法，结合本地实际，制定实施细则，并报市民政局备案。</w:t>
      </w:r>
    </w:p>
    <w:p>
      <w:pPr>
        <w:widowControl/>
        <w:shd w:val="clear" w:color="auto" w:fill="FFFFFF"/>
        <w:spacing w:line="520" w:lineRule="atLeast"/>
        <w:ind w:firstLine="628"/>
        <w:jc w:val="left"/>
        <w:rPr>
          <w:rFonts w:hint="eastAsia" w:ascii="仿宋" w:hAnsi="仿宋" w:eastAsia="仿宋" w:cs="仿宋"/>
          <w:color w:val="333333"/>
          <w:kern w:val="0"/>
          <w:szCs w:val="21"/>
        </w:rPr>
      </w:pPr>
      <w:r>
        <w:rPr>
          <w:rFonts w:hint="eastAsia" w:ascii="仿宋" w:hAnsi="仿宋" w:eastAsia="仿宋" w:cs="仿宋"/>
          <w:color w:val="333333"/>
          <w:kern w:val="0"/>
          <w:sz w:val="32"/>
          <w:szCs w:val="32"/>
        </w:rPr>
        <w:t>第四十七条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本办法由市民政局会同有关部门负责解释。</w:t>
      </w:r>
    </w:p>
    <w:p>
      <w:pPr>
        <w:widowControl/>
        <w:shd w:val="clear" w:color="auto" w:fill="FFFFFF"/>
        <w:spacing w:line="520" w:lineRule="atLeast"/>
        <w:ind w:firstLine="628"/>
        <w:rPr>
          <w:rFonts w:hint="eastAsia" w:ascii="仿宋" w:hAnsi="仿宋" w:eastAsia="仿宋" w:cs="仿宋"/>
          <w:color w:val="333333"/>
          <w:kern w:val="0"/>
          <w:szCs w:val="21"/>
        </w:rPr>
      </w:pPr>
      <w:r>
        <w:rPr>
          <w:rFonts w:hint="eastAsia" w:ascii="仿宋" w:hAnsi="仿宋" w:eastAsia="仿宋" w:cs="仿宋"/>
          <w:color w:val="333333"/>
          <w:kern w:val="0"/>
          <w:sz w:val="32"/>
          <w:szCs w:val="32"/>
        </w:rPr>
        <w:t>第四十八条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rPr>
        <w:t>本办法自</w:t>
      </w:r>
      <w:r>
        <w:rPr>
          <w:rFonts w:hint="eastAsia" w:ascii="仿宋" w:hAnsi="仿宋" w:eastAsia="仿宋" w:cs="仿宋"/>
          <w:color w:val="333333"/>
          <w:kern w:val="0"/>
          <w:sz w:val="32"/>
          <w:szCs w:val="32"/>
        </w:rPr>
        <w:t>2022</w:t>
      </w:r>
      <w:r>
        <w:rPr>
          <w:rFonts w:hint="eastAsia" w:ascii="仿宋" w:hAnsi="仿宋" w:eastAsia="仿宋" w:cs="仿宋"/>
          <w:color w:val="333333"/>
          <w:kern w:val="0"/>
          <w:sz w:val="32"/>
          <w:szCs w:val="32"/>
        </w:rPr>
        <w:t>年</w:t>
      </w:r>
      <w:r>
        <w:rPr>
          <w:rFonts w:hint="eastAsia" w:ascii="仿宋" w:hAnsi="仿宋" w:eastAsia="仿宋" w:cs="仿宋"/>
          <w:color w:val="333333"/>
          <w:kern w:val="0"/>
          <w:sz w:val="32"/>
          <w:szCs w:val="32"/>
        </w:rPr>
        <w:t>1</w:t>
      </w:r>
      <w:r>
        <w:rPr>
          <w:rFonts w:hint="eastAsia" w:ascii="仿宋" w:hAnsi="仿宋" w:eastAsia="仿宋" w:cs="仿宋"/>
          <w:color w:val="333333"/>
          <w:kern w:val="0"/>
          <w:sz w:val="32"/>
          <w:szCs w:val="32"/>
        </w:rPr>
        <w:t>月</w:t>
      </w:r>
      <w:r>
        <w:rPr>
          <w:rFonts w:hint="eastAsia" w:ascii="仿宋" w:hAnsi="仿宋" w:eastAsia="仿宋" w:cs="仿宋"/>
          <w:color w:val="333333"/>
          <w:kern w:val="0"/>
          <w:sz w:val="32"/>
          <w:szCs w:val="32"/>
        </w:rPr>
        <w:t>1</w:t>
      </w:r>
      <w:r>
        <w:rPr>
          <w:rFonts w:hint="eastAsia" w:ascii="仿宋" w:hAnsi="仿宋" w:eastAsia="仿宋" w:cs="仿宋"/>
          <w:color w:val="333333"/>
          <w:kern w:val="0"/>
          <w:sz w:val="32"/>
          <w:szCs w:val="32"/>
        </w:rPr>
        <w:t>日起施行。</w:t>
      </w:r>
    </w:p>
    <w:p>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0" w:usb3="00000000" w:csb0="0002009F" w:csb1="00000000"/>
  </w:font>
  <w:font w:name="方正小标宋_GBK">
    <w:altName w:val="微软雅黑"/>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E0ZmE0NmQ5NmFhNjhlOTdiY2NhNTRhNDQyZTE0ZjAifQ=="/>
  </w:docVars>
  <w:rsids>
    <w:rsidRoot w:val="00EE238A"/>
    <w:rsid w:val="00C6389B"/>
    <w:rsid w:val="00EE238A"/>
    <w:rsid w:val="224F4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 w:type="paragraph" w:customStyle="1" w:styleId="10">
    <w:name w:val="18"/>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16"/>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8012</Words>
  <Characters>8069</Characters>
  <Lines>58</Lines>
  <Paragraphs>16</Paragraphs>
  <TotalTime>0</TotalTime>
  <ScaleCrop>false</ScaleCrop>
  <LinksUpToDate>false</LinksUpToDate>
  <CharactersWithSpaces>8086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2021-11-26T09:13:00Z</dcterms:created>
  <dc:creator>市大数据发展管理局</dc:creator>
  <cp:lastModifiedBy>luzhibin</cp:lastModifiedBy>
  <dcterms:modified xsi:type="dcterms:W3CDTF">2024-06-19T08:49:46Z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9A73A833C1D24FA0AA984030F45EC0CC_12</vt:lpwstr>
  </property>
</Properties>
</file>