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B064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关于印发赣州市中心城区“多户一表”供水改造实施方案的通知</w:t>
      </w:r>
    </w:p>
    <w:p w14:paraId="43EC546D">
      <w:pPr>
        <w:jc w:val="center"/>
        <w:rPr>
          <w:rFonts w:hint="eastAsia" w:ascii="方正小标宋简体" w:hAnsi="方正小标宋简体" w:eastAsia="方正小标宋简体" w:cs="方正小标宋简体"/>
          <w:sz w:val="44"/>
          <w:szCs w:val="44"/>
        </w:rPr>
      </w:pPr>
    </w:p>
    <w:p w14:paraId="7FA77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赣市府办字〔</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87</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w:t>
      </w:r>
    </w:p>
    <w:p w14:paraId="124154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14:paraId="6C5BCF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14:paraId="475D5E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赣州市人民政府办公室</w:t>
      </w:r>
    </w:p>
    <w:p w14:paraId="123449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关于印发赣州市中心城区“多户一表”</w:t>
      </w:r>
    </w:p>
    <w:p w14:paraId="076E33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供水改造实施方案的通知</w:t>
      </w:r>
    </w:p>
    <w:p w14:paraId="7E0EA8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 </w:t>
      </w:r>
    </w:p>
    <w:p w14:paraId="2790E8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各县（市、区）人民政府，市政府有关部门，市属、驻市有关单位</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14:paraId="722A3B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《赣州市中心城区“多户一表”供水改造实施方案》已经市政府同意，现印发给你们，请结合实际，认真抓好落实。</w:t>
      </w:r>
    </w:p>
    <w:p w14:paraId="31F49F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14:paraId="57AEFA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0"/>
        <w:rPr>
          <w:rFonts w:ascii="Tahoma" w:hAnsi="Tahoma" w:eastAsia="Tahoma" w:cs="Tahoma"/>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 </w:t>
      </w:r>
    </w:p>
    <w:p w14:paraId="40105C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 </w:t>
      </w:r>
    </w:p>
    <w:p w14:paraId="19ED4A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32"/>
          <w:szCs w:val="32"/>
          <w:bdr w:val="none" w:color="auto" w:sz="0" w:space="0"/>
          <w:shd w:val="clear" w:fill="FFFFFF"/>
          <w:lang w:val="en-US" w:eastAsia="zh-CN" w:bidi="ar"/>
        </w:rPr>
        <w:t> </w:t>
      </w:r>
    </w:p>
    <w:p w14:paraId="5474ED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2024</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12</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日</w:t>
      </w:r>
    </w:p>
    <w:p w14:paraId="7D268C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20" w:afterAutospacing="0" w:line="560" w:lineRule="atLeast"/>
        <w:ind w:left="0" w:right="0" w:firstLine="618"/>
        <w:rPr>
          <w:rFonts w:hint="default" w:ascii="Tahoma" w:hAnsi="Tahoma" w:eastAsia="Tahoma" w:cs="Tahoma"/>
          <w:i w:val="0"/>
          <w:iCs w:val="0"/>
          <w:caps w:val="0"/>
          <w:color w:val="333333"/>
          <w:spacing w:val="0"/>
          <w:sz w:val="21"/>
          <w:szCs w:val="21"/>
        </w:rPr>
      </w:pPr>
      <w:r>
        <w:rPr>
          <w:rFonts w:hint="eastAsia" w:ascii="仿宋_GB2312" w:hAnsi="Tahoma" w:eastAsia="仿宋_GB2312" w:cs="仿宋_GB2312"/>
          <w:i w:val="0"/>
          <w:iCs w:val="0"/>
          <w:caps w:val="0"/>
          <w:color w:val="333333"/>
          <w:spacing w:val="0"/>
          <w:sz w:val="32"/>
          <w:szCs w:val="32"/>
          <w:bdr w:val="none" w:color="auto" w:sz="0" w:space="0"/>
          <w:shd w:val="clear" w:fill="FFFFFF"/>
        </w:rPr>
        <w:t>（此件主动公开）</w:t>
      </w:r>
    </w:p>
    <w:p w14:paraId="75EAA5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赣州市中心城区“多户一表”供水改造</w:t>
      </w:r>
    </w:p>
    <w:p w14:paraId="7F1112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实施方案</w:t>
      </w:r>
    </w:p>
    <w:p w14:paraId="206787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18"/>
        <w:jc w:val="left"/>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14:paraId="36AB8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为进一</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步提升中心城区供水服务质量，解决住宅小区“多户一表”问题，根据《城市供水条例》（国务院令第</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158</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号）等法律法规及相关文件精神，结合我市中心城区实际，特制定本方案。</w:t>
      </w:r>
    </w:p>
    <w:p w14:paraId="37A8FE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一、工作目标</w:t>
      </w:r>
    </w:p>
    <w:p w14:paraId="7BDBD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坚持以人民为中心的发展思想，按照“政府引导、多方筹资、分步实施”的思路，力争</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2026</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年底前基本实现中心城区（含章贡区、赣县区、南康区、赣州经开区、赣州蓉江新区，下同）“多户一表”愿改尽改，实现供水“同城、同质、同价、同服务”，切实解决城市饮用水安全“最后一公里”问题，</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让</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广大居民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群众</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用上</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更加</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干净、安全、放心</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的生活用水</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14:paraId="16C1A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二、实施步骤</w:t>
      </w:r>
    </w:p>
    <w:p w14:paraId="73BA1A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（一）全面摸排，理清底数。</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赣州市政集团组织对中心城区“多户一表”居民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住宅</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小区进行全面调查摸底，重点摸清小区数量及相应户数、产权性质、建成时间等基本情况，理清“多户一表”供水改造底数。</w:t>
      </w:r>
    </w:p>
    <w:p w14:paraId="7A21E2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（二）先急后缓，分批实施。</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按照“愿改尽改、成熟一批、改造一批、接管一批”的原则，遵循业主意愿，</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居民住宅小区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由业委会（暂无业委会的，由社区代为申报）向乡镇（街道）提出</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改造</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申请，由乡镇（街道）报区住建</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主管部门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审核，经审核确定后报市中心城区“多户一表”供水改造工作专班办公室纳入改造计划</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，并向赣州市政集团申请</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实施</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改造</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。纳入改造计划的项目应符合以下条件：居民住宅（不含商用单身公寓、自建房、消防供水设施）；水费全部结清；</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经小区住宅专有部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分面积占比三分之二以上的业主，且小区住宅总</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数三分之二以上业主参与表决，并经小区参与表决住宅专有部分面积四分之三以上的业主</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且参与表决</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人</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数四分之三以上的业主同意；业主自筹资金已落实。</w:t>
      </w:r>
    </w:p>
    <w:p w14:paraId="6D650E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对国有平</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台投资建设的返迁房、公租房且产权属于原建设单位的，由小区</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产权所属建设</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单位</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向赣州市政集团申请</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实施</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改造。</w:t>
      </w:r>
    </w:p>
    <w:p w14:paraId="21E745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（三）全面移交、统一管护。</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改造完成后全部移交赣州市政集团统一运维管理，并对用水户实施“抄表到户”管理服务，建立长效管理机制。</w:t>
      </w:r>
    </w:p>
    <w:p w14:paraId="32D2A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三、资金筹集</w:t>
      </w:r>
    </w:p>
    <w:p w14:paraId="7BDBD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中心城区“多户一表”供水改造分两类情形明确资金筹集方式，一是对国有平台投资建设的返迁房、公租房且产权属于原建设单位的，改造资金由原建设单位统筹解决</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二是对其他居民住宅小区，改造资金由财政、业主、供水企业等共同分担，原则上用户每户出资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2000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元（含二次供水设施改造费用），财政（含专项债等政策性资金）每户补贴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1200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元（市、区两级各承担</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600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元），剩余部分由</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赣州市政集团</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兜底解决。有条件的小区可积</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极引导业委会通过出租小区停车位、广告位等方式筹措资金，有住宅专项维修资金的小区可按程序申请住宅专项维修资金进行改造。</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特困户、五保户、低保户等自来水用户</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多户一表</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”供水</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改造收费可凭相关证明减免</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400</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元</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户</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表（每证仅限一处）。</w:t>
      </w:r>
    </w:p>
    <w:p w14:paraId="1C227E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四、职责分工</w:t>
      </w:r>
    </w:p>
    <w:p w14:paraId="24902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市住房城乡建设局：</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负责综合协调</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中心城区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“多户一表”供水改造工作，制定“多户一表”供水改造申请流程。</w:t>
      </w:r>
    </w:p>
    <w:p w14:paraId="681C37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市发展改革委：</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负责指导争取上级项目资金支持及项目立项等工作。</w:t>
      </w:r>
    </w:p>
    <w:p w14:paraId="0DF4B3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市财政局：</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负责筹措市本级承担的“多户一表”供水改造资金，指导各区政府（管委会）多渠道筹集改造资金，牵头出台中心城区“多户一表”供水改造资金补助办法。</w:t>
      </w:r>
    </w:p>
    <w:p w14:paraId="0EA2C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市卫生健康委：</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中心城区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“多户一表”供水改造后的水质卫生监测。</w:t>
      </w:r>
    </w:p>
    <w:p w14:paraId="257E1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市城管局：</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负责指导</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中心城区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“多户一表”小区业委会规范管理广告位、停车位等。</w:t>
      </w:r>
    </w:p>
    <w:p w14:paraId="72FB81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市城市住房服务中心：</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负责建立</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中心城区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“多户一表”供水改造申请使用住宅专项维修资金审批程序及“绿色通道”，指导物业企业协助做好“多户一表”供水改造</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工作</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14:paraId="2EAA26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赣州市政集团：</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负责具体推进实施中心城区“多户一表”供水改造，承担供水企业</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兜底保障的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改造资金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养</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改造后的小区供水设施等工作。</w:t>
      </w:r>
    </w:p>
    <w:p w14:paraId="76212E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各区政府（管委会）：</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负责辖区范围内居民</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住宅小区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“多户</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一表”供水改造宣传动员、组织申报、资金筹措、协调推进等工作。</w:t>
      </w:r>
    </w:p>
    <w:p w14:paraId="16B3F3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五、保障措施</w:t>
      </w:r>
    </w:p>
    <w:p w14:paraId="4CE945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（一）强化组织领导。</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成立</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赣州</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市中心城区“多户一表”供水改造工作专班（改造完成后，专班自动撤销），由市政府分管副市长担任召集人，市政府对口副秘书长、市住房城乡建设局</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及</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州市政集团主要负责同志担任副召集人，市住房城乡建设局、市发展改革委、市财政局、市卫生健康委、市城管局、市城市住房服务中心、赣州市政集团，章贡区、南康区、赣县区政府，赣州经开区、赣州蓉江新区管委会分管负责同志为成员，工作专班办公室设在市住房城乡建设局。</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各成员单位要协同联动、合力推动中心城区“多户一表”供水改造。</w:t>
      </w:r>
    </w:p>
    <w:p w14:paraId="467CA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（二）强化工作合力。</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各区政府（管委会）</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是“多户一表”供水改造工作</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的责任主体，要细化任务要求，有力有序推动改造工作。各</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市直</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有关</w:t>
      </w:r>
      <w:r>
        <w:rPr>
          <w:rFonts w:hint="eastAsia" w:ascii="仿宋_GB2312" w:hAnsi="宋体" w:eastAsia="仿宋_GB2312" w:cs="仿宋_GB2312"/>
          <w:i w:val="0"/>
          <w:iCs w:val="0"/>
          <w:caps w:val="0"/>
          <w:color w:val="333333"/>
          <w:spacing w:val="-6"/>
          <w:kern w:val="0"/>
          <w:sz w:val="32"/>
          <w:szCs w:val="32"/>
          <w:bdr w:val="none" w:color="auto" w:sz="0" w:space="0"/>
          <w:shd w:val="clear" w:fill="FFFFFF"/>
          <w:lang w:val="en-US" w:eastAsia="zh-CN" w:bidi="ar"/>
        </w:rPr>
        <w:t>单位</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要强化协调配合，在资金筹集、项目审批等方面予以支持，形成工作合力。赣州市政集团要切实担起国企社会责任，确保工程质量，具体推进实施中心城区“多户一表”供水改造工作。</w:t>
      </w:r>
    </w:p>
    <w:p w14:paraId="0AF4AB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（三）强化宣传引导。</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各区政府（管委会）及市直</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有关</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单位</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要充分利用新媒体、电视、报纸等多种渠道，宣传“多户一表”供水改造对提升饮用水安全保障的重要作用，解读改造政策，引导群众从“要我改”到“我要改”，营造“多户一表”供水改造工作的有利氛围。</w:t>
      </w:r>
    </w:p>
    <w:p w14:paraId="25C54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40" w:lineRule="atLeast"/>
        <w:ind w:left="0" w:right="0" w:firstLine="618"/>
        <w:jc w:val="both"/>
        <w:textAlignment w:val="baseline"/>
        <w:rPr>
          <w:rFonts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2"/>
          <w:szCs w:val="32"/>
          <w:bdr w:val="none" w:color="auto" w:sz="0" w:space="0"/>
          <w:shd w:val="clear" w:fill="FFFFFF"/>
          <w:vertAlign w:val="baseline"/>
        </w:rPr>
        <w:t>本文件自印发之日起实施，其他县（市）“多户一表”供水改造可参照本方案执行。</w:t>
      </w:r>
    </w:p>
    <w:p w14:paraId="0700A1E8">
      <w:pPr>
        <w:jc w:val="both"/>
        <w:rPr>
          <w:rFonts w:hint="eastAsia" w:ascii="方正小标宋简体" w:hAnsi="方正小标宋简体" w:eastAsia="方正小标宋简体" w:cs="方正小标宋简体"/>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746F81-FA49-4619-9732-D6B4CDECF1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DC067BC7-329C-46F8-8DB3-80DCE0E22D9B}"/>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10CA8808-4AEF-4DFC-A8EC-F3CF22DBFBF0}"/>
  </w:font>
  <w:font w:name="方正小标宋简体">
    <w:panose1 w:val="02000000000000000000"/>
    <w:charset w:val="86"/>
    <w:family w:val="auto"/>
    <w:pitch w:val="default"/>
    <w:sig w:usb0="00000001" w:usb1="080E0000" w:usb2="00000000" w:usb3="00000000" w:csb0="00040000" w:csb1="00000000"/>
    <w:embedRegular r:id="rId4" w:fontKey="{9F30AC40-EFBD-49B7-964D-BF2CEBA14DF9}"/>
  </w:font>
  <w:font w:name="方正小标宋_GBK">
    <w:altName w:val="Arial Unicode MS"/>
    <w:panose1 w:val="00000000000000000000"/>
    <w:charset w:val="00"/>
    <w:family w:val="auto"/>
    <w:pitch w:val="default"/>
    <w:sig w:usb0="00000000" w:usb1="00000000" w:usb2="00000000" w:usb3="00000000" w:csb0="00000000" w:csb1="00000000"/>
    <w:embedRegular r:id="rId5" w:fontKey="{76ACA6B8-32D1-4A8A-95D7-181B2F857ECE}"/>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embedRegular r:id="rId6" w:fontKey="{F8D7AD0B-BBF0-4ECD-9C62-1D5399C57C1A}"/>
  </w:font>
  <w:font w:name="楷体_GB2312">
    <w:altName w:val="楷体"/>
    <w:panose1 w:val="00000000000000000000"/>
    <w:charset w:val="00"/>
    <w:family w:val="auto"/>
    <w:pitch w:val="default"/>
    <w:sig w:usb0="00000000" w:usb1="00000000" w:usb2="00000000" w:usb3="00000000" w:csb0="00000000" w:csb1="00000000"/>
    <w:embedRegular r:id="rId7" w:fontKey="{A4D85A49-797D-4D73-8CCE-A6FA6E49091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6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2024-12-19T08:33:58Z</dcterms:created>
  <dc:creator>13672</dc:creator>
  <cp:lastModifiedBy>行云流水</cp:lastModifiedBy>
  <dcterms:modified xsi:type="dcterms:W3CDTF">2024-12-19T08:34:36Z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09EA8F9D1F7145D790A492CAE521D88D_12</vt:lpwstr>
  </property>
</Properties>
</file>