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14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各法律服务机构检查具体情况</w:t>
      </w:r>
    </w:p>
    <w:bookmarkEnd w:id="0"/>
    <w:p w14:paraId="698A4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</w:p>
    <w:p w14:paraId="24B67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1.江西红土地律师事务所，检查情况：2023年部分案卷归档不够及时；未及时将律师业务数据上传到平台，2023年只上传68件。</w:t>
      </w:r>
    </w:p>
    <w:p w14:paraId="6BA2D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2.江西律嘉律师事务所，检查情况：较好。</w:t>
      </w:r>
    </w:p>
    <w:p w14:paraId="1664E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3.江西乔礼青律师事务所，检查情况：未及时将律师业务数据上传到平台，2023年只上传36件。</w:t>
      </w:r>
    </w:p>
    <w:p w14:paraId="43BA9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4.江西海融律师事务所，检查情况：履行法律援助义务不够积极。</w:t>
      </w:r>
    </w:p>
    <w:p w14:paraId="0166C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5.江西瀛灯律师事务所，检查情况：围绕中心工作，服务保障大局方面做的不够；党组织建设不规范；未及时将律师业务数据上传到平台，2023年只上传28件。</w:t>
      </w:r>
    </w:p>
    <w:p w14:paraId="0BEEF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6.江西公仁（赣县）律师事务所，检查情况：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  <w:t>较好。</w:t>
      </w:r>
    </w:p>
    <w:p w14:paraId="0577A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7.江西腾龙律师事务所，检查情况：较好。</w:t>
      </w:r>
    </w:p>
    <w:p w14:paraId="0F266F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8.广东德纳（赣州）律师事务所，检查情况：未及时将律师业务数据上传到平台。</w:t>
      </w:r>
    </w:p>
    <w:p w14:paraId="4EAFD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9.江西兴略律师事务所，检查情况：参与中心工作及履行法定职责不足；法律援助案件办理较少；案卷归档不规范。</w:t>
      </w:r>
    </w:p>
    <w:p w14:paraId="2069B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10.江西千粟律师事务所，检查情况：参与中心工作不足。</w:t>
      </w:r>
    </w:p>
    <w:p w14:paraId="3D01B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11.江西宋城（全南）律师事务所，检查情况：未及时将律师业务数据上传到平台。</w:t>
      </w:r>
    </w:p>
    <w:p w14:paraId="0958A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12.江西海春律师事务所，检查情况：较好。</w:t>
      </w:r>
    </w:p>
    <w:p w14:paraId="7454A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13.赣州市潭口法律服务所，检查情况：较好。</w:t>
      </w:r>
    </w:p>
    <w:p w14:paraId="55D5A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14.宁都县石上法律服务所，检查情况：较好。</w:t>
      </w:r>
    </w:p>
    <w:p w14:paraId="4EEC2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15.兴国县社富法律服务所，检查情况：机构执业证、章程未上墙；落实统一收案、统一收费、统一归档不规范。</w:t>
      </w:r>
    </w:p>
    <w:p w14:paraId="5AD2D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16.赣县区梅林法律服务所，检查情况：较好。</w:t>
      </w:r>
    </w:p>
    <w:p w14:paraId="2EAFA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17.信丰县大塘埠镇法律服务所，检查情况：较好。</w:t>
      </w:r>
    </w:p>
    <w:p w14:paraId="10231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18.定南县章正法律服务所，检查情况：参加公益活动较少。</w:t>
      </w:r>
    </w:p>
    <w:p w14:paraId="069C6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19.于都县方安法律服务所，检查情况：较好。</w:t>
      </w:r>
    </w:p>
    <w:p w14:paraId="0E0A6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216F9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1E8F0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6B28974E"/>
    <w:sectPr>
      <w:footerReference r:id="rId3" w:type="default"/>
      <w:pgSz w:w="11906" w:h="16838"/>
      <w:pgMar w:top="2098" w:right="1587" w:bottom="2098" w:left="1587" w:header="851" w:footer="170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791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94821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94821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zBjNDAxZDU3ZjgyNTY1OTc2MjkxOTViMmY2NjQifQ=="/>
  </w:docVars>
  <w:rsids>
    <w:rsidRoot w:val="15821ADB"/>
    <w:rsid w:val="158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2024-11-06T07:45:00Z</dcterms:created>
  <dc:creator>猫宁☀️</dc:creator>
  <cp:lastModifiedBy>猫宁☀️</cp:lastModifiedBy>
  <dcterms:modified xsi:type="dcterms:W3CDTF">2024-11-06T07:46:14Z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B3313CAA96AD40E1B7D5C3282F8F1084_11</vt:lpwstr>
  </property>
</Properties>
</file>