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赣市行审证（1）字〔202</w:t>
      </w:r>
      <w:r>
        <w:rPr>
          <w:rFonts w:hint="default" w:ascii="仿宋_GB2312" w:hAnsi="仿宋_GB2312" w:eastAsia="仿宋_GB2312" w:cs="仿宋_GB2312"/>
          <w:color w:val="auto"/>
          <w:sz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宋体" w:hAnsi="宋体" w:eastAsia="黑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0"/>
          <w:sz w:val="44"/>
          <w:szCs w:val="44"/>
        </w:rPr>
        <w:t>关于石城县赣江源镇洋地卫生院项目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简体" w:eastAsia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0"/>
          <w:sz w:val="44"/>
          <w:szCs w:val="44"/>
        </w:rPr>
        <w:t>环境影响报告表</w:t>
      </w:r>
      <w:r>
        <w:rPr>
          <w:rFonts w:hint="eastAsia" w:ascii="方正小标宋简体" w:eastAsia="方正小标宋简体"/>
          <w:color w:val="auto"/>
          <w:spacing w:val="0"/>
          <w:sz w:val="44"/>
          <w:szCs w:val="44"/>
          <w:lang w:eastAsia="zh-CN"/>
        </w:rPr>
        <w:t>（告知</w:t>
      </w:r>
      <w:r>
        <w:rPr>
          <w:rFonts w:hint="eastAsia" w:ascii="方正小标宋简体" w:eastAsia="方正小标宋简体"/>
          <w:color w:val="auto"/>
          <w:spacing w:val="0"/>
          <w:sz w:val="44"/>
          <w:szCs w:val="44"/>
        </w:rPr>
        <w:t>承诺制</w:t>
      </w:r>
      <w:r>
        <w:rPr>
          <w:rFonts w:hint="eastAsia" w:ascii="方正小标宋简体" w:eastAsia="方正小标宋简体"/>
          <w:color w:val="auto"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auto"/>
          <w:spacing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仿宋_GB2312" w:eastAsia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ascii="仿宋_GB2312" w:hAnsi="仿宋_GB2312" w:eastAsia="仿宋_GB2312" w:cs="仿宋_GB2312"/>
          <w:b w:val="0"/>
          <w:bCs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sz w:val="32"/>
          <w:szCs w:val="32"/>
        </w:rPr>
        <w:t>石城县赣江源镇洋地卫生院：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sz w:val="32"/>
          <w:szCs w:val="32"/>
        </w:rPr>
        <w:t>提交的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sz w:val="32"/>
          <w:szCs w:val="32"/>
          <w:lang w:val="en-US" w:eastAsia="zh-CN"/>
        </w:rPr>
        <w:t>&lt;石城县赣江源镇洋地卫生院项目&gt;环评审查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  <w:t>及相关报批申请材料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sz w:val="32"/>
          <w:szCs w:val="32"/>
        </w:rPr>
        <w:t>收悉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  <w:t>经形式审查，符合我省建设项目环境影响评价文件告知承诺审批的相关要求。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" w:eastAsia="zh-CN"/>
        </w:rPr>
        <w:t>本项目属于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基层医疗卫生服务项目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z w:val="32"/>
          <w:szCs w:val="32"/>
          <w:lang w:val="en-US" w:eastAsia="zh-CN"/>
        </w:rPr>
        <w:t>位于赣州市石城县赣江源镇洋地街上。项目建设内容包括门诊大楼、预防接种楼等配套设施，医疗废物暂存间、污水处理站等辅助工程。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根据赣州环安生态科技有限公司编制的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《石城县赣江源镇洋地卫生院项目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对该项目开展环境影响评价的结论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在全面落实报告表提出的各项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防治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生态影响和环境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措施、防范环境风险措施和你单位承诺的前提下，工程建设对环境的不利影响能够得到缓解和控制，原则同意该项目开工建设。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应严格落实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建设单位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环保主体责任，认真落实各项生态环境保护和风险防范措施，严格执行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配套建设的环保设施与主体工程同时设计、同时施工、同时投产的环保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“三同时”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和排污许可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制度，确保各项污染物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排放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满足国家、地方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和要求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。项目竣工后，应按规定开展环境保护验收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和排污许可工作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，手续齐全合格后方可正式投入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建设项目的性质、规模、地点、采用的生产工艺或者防治污染措施发生重大变动的，你单位应当依法重新报批该项目的环境影响评价文件。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赣州市石城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生态环境局加强对本项目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环境监管，监督企业认真落实各项环境保护要求。一经发现存在不符合告知承诺制或者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环境影响评价文件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存在重大质量问题，依法撤销审批决定，造成的一切法律后果和经济损失均由你单位承担。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center"/>
        <w:textAlignment w:val="auto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赣州市行政审批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" w:eastAsia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年1</w:t>
      </w:r>
      <w:r>
        <w:rPr>
          <w:rFonts w:hint="default" w:ascii="仿宋_GB2312" w:hAnsi="仿宋" w:eastAsia="仿宋_GB2312"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月12日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751" w:tblpY="648"/>
        <w:tblOverlap w:val="never"/>
        <w:tblW w:w="8820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88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抄送：赣州市生态环境局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882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-114" w:leftChars="-52" w:right="0" w:firstLine="160" w:firstLineChars="50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32"/>
                <w:szCs w:val="32"/>
              </w:rPr>
              <w:t>赣州市行政审批局办公室         202</w:t>
            </w:r>
            <w:r>
              <w:rPr>
                <w:rFonts w:hint="eastAsia" w:ascii="仿宋_GB2312" w:eastAsia="仿宋_GB2312"/>
                <w:color w:val="auto"/>
                <w:spacing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pacing w:val="0"/>
                <w:sz w:val="32"/>
                <w:szCs w:val="32"/>
              </w:rPr>
              <w:t>年</w:t>
            </w:r>
            <w:r>
              <w:rPr>
                <w:rFonts w:hint="default" w:ascii="仿宋_GB2312" w:eastAsia="仿宋_GB2312"/>
                <w:color w:val="auto"/>
                <w:spacing w:val="0"/>
                <w:sz w:val="32"/>
                <w:szCs w:val="32"/>
                <w:lang w:val="en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pacing w:val="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auto"/>
                <w:spacing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auto"/>
                <w:spacing w:val="0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（此件依法公开）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285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mQ4Mjc2ZjYxOGQ2ZDI1ZDg3N2FiMDNlNTU0YTYxZjYifQ=="/>
  </w:docVars>
  <w:rsids>
    <w:rsidRoot w:val="00D31D50"/>
    <w:rsid w:val="00017D80"/>
    <w:rsid w:val="00062C66"/>
    <w:rsid w:val="000C16CD"/>
    <w:rsid w:val="000D58B7"/>
    <w:rsid w:val="001616DF"/>
    <w:rsid w:val="001634CC"/>
    <w:rsid w:val="00163E24"/>
    <w:rsid w:val="00170951"/>
    <w:rsid w:val="001C64F7"/>
    <w:rsid w:val="00200416"/>
    <w:rsid w:val="0022037B"/>
    <w:rsid w:val="00244280"/>
    <w:rsid w:val="0027178A"/>
    <w:rsid w:val="002A6E3B"/>
    <w:rsid w:val="002D79CC"/>
    <w:rsid w:val="00323B43"/>
    <w:rsid w:val="0036673D"/>
    <w:rsid w:val="003779BA"/>
    <w:rsid w:val="0038313E"/>
    <w:rsid w:val="003B15B1"/>
    <w:rsid w:val="003D0113"/>
    <w:rsid w:val="003D37D8"/>
    <w:rsid w:val="003E601F"/>
    <w:rsid w:val="00411044"/>
    <w:rsid w:val="00420E58"/>
    <w:rsid w:val="00426133"/>
    <w:rsid w:val="004358AB"/>
    <w:rsid w:val="004C2ABE"/>
    <w:rsid w:val="004D1D27"/>
    <w:rsid w:val="00506228"/>
    <w:rsid w:val="00531426"/>
    <w:rsid w:val="005649D8"/>
    <w:rsid w:val="005E377A"/>
    <w:rsid w:val="005F6DAF"/>
    <w:rsid w:val="006129FD"/>
    <w:rsid w:val="006A2E8C"/>
    <w:rsid w:val="006C00DA"/>
    <w:rsid w:val="006F0B73"/>
    <w:rsid w:val="007042DC"/>
    <w:rsid w:val="007057D4"/>
    <w:rsid w:val="00757174"/>
    <w:rsid w:val="008308F4"/>
    <w:rsid w:val="0083463B"/>
    <w:rsid w:val="008742F6"/>
    <w:rsid w:val="008A09D5"/>
    <w:rsid w:val="008B7726"/>
    <w:rsid w:val="008D2AFA"/>
    <w:rsid w:val="008D7460"/>
    <w:rsid w:val="008E4313"/>
    <w:rsid w:val="009719A2"/>
    <w:rsid w:val="009C1A25"/>
    <w:rsid w:val="009D0A97"/>
    <w:rsid w:val="00A02461"/>
    <w:rsid w:val="00A73333"/>
    <w:rsid w:val="00A75D3C"/>
    <w:rsid w:val="00B2307F"/>
    <w:rsid w:val="00BB651C"/>
    <w:rsid w:val="00BC1CFC"/>
    <w:rsid w:val="00BE7A11"/>
    <w:rsid w:val="00C93CDA"/>
    <w:rsid w:val="00CB45D4"/>
    <w:rsid w:val="00CF30D0"/>
    <w:rsid w:val="00D27F52"/>
    <w:rsid w:val="00D31D50"/>
    <w:rsid w:val="00D563D6"/>
    <w:rsid w:val="00DB1B98"/>
    <w:rsid w:val="00DC68FC"/>
    <w:rsid w:val="00E25C94"/>
    <w:rsid w:val="00E92DBD"/>
    <w:rsid w:val="00EA19C6"/>
    <w:rsid w:val="00F16739"/>
    <w:rsid w:val="00F20E2E"/>
    <w:rsid w:val="00F21502"/>
    <w:rsid w:val="00F30C97"/>
    <w:rsid w:val="00FD25C1"/>
    <w:rsid w:val="00FD6D1A"/>
    <w:rsid w:val="00FF7609"/>
    <w:rsid w:val="011E1FE4"/>
    <w:rsid w:val="06BD229F"/>
    <w:rsid w:val="07BE007D"/>
    <w:rsid w:val="08275C22"/>
    <w:rsid w:val="08874912"/>
    <w:rsid w:val="095F3199"/>
    <w:rsid w:val="09E638BB"/>
    <w:rsid w:val="0B6902FF"/>
    <w:rsid w:val="0BF422BF"/>
    <w:rsid w:val="0CF06F2A"/>
    <w:rsid w:val="117A14B8"/>
    <w:rsid w:val="11FC011F"/>
    <w:rsid w:val="12AA7B7B"/>
    <w:rsid w:val="14495172"/>
    <w:rsid w:val="14CB5B87"/>
    <w:rsid w:val="14F670A8"/>
    <w:rsid w:val="16461969"/>
    <w:rsid w:val="16465E0D"/>
    <w:rsid w:val="168B3820"/>
    <w:rsid w:val="1BAA0BEC"/>
    <w:rsid w:val="1C735285"/>
    <w:rsid w:val="1CF87735"/>
    <w:rsid w:val="1D7F1542"/>
    <w:rsid w:val="1DA022A7"/>
    <w:rsid w:val="1F3031B6"/>
    <w:rsid w:val="1F67D8BA"/>
    <w:rsid w:val="202D1DEC"/>
    <w:rsid w:val="20360CA0"/>
    <w:rsid w:val="21DC7625"/>
    <w:rsid w:val="220B3A67"/>
    <w:rsid w:val="24B46637"/>
    <w:rsid w:val="25DA3E7C"/>
    <w:rsid w:val="27257379"/>
    <w:rsid w:val="28BE5CD7"/>
    <w:rsid w:val="2CA13945"/>
    <w:rsid w:val="2E1B7727"/>
    <w:rsid w:val="31592A40"/>
    <w:rsid w:val="32D63C1D"/>
    <w:rsid w:val="345E3ECA"/>
    <w:rsid w:val="38E2331B"/>
    <w:rsid w:val="399D3C50"/>
    <w:rsid w:val="3A744447"/>
    <w:rsid w:val="3AA22E44"/>
    <w:rsid w:val="3ADC3D9A"/>
    <w:rsid w:val="3C7BC4C5"/>
    <w:rsid w:val="3D404AB5"/>
    <w:rsid w:val="3DEB2D0F"/>
    <w:rsid w:val="3DF71617"/>
    <w:rsid w:val="3FCDDC16"/>
    <w:rsid w:val="41A73354"/>
    <w:rsid w:val="423A5F76"/>
    <w:rsid w:val="435E5C94"/>
    <w:rsid w:val="43FC8E83"/>
    <w:rsid w:val="45A32084"/>
    <w:rsid w:val="45BFE217"/>
    <w:rsid w:val="49BD7814"/>
    <w:rsid w:val="4D693BB4"/>
    <w:rsid w:val="4F53C7C4"/>
    <w:rsid w:val="4F9C201E"/>
    <w:rsid w:val="4FB79EB0"/>
    <w:rsid w:val="50EE4AFC"/>
    <w:rsid w:val="52DD4E28"/>
    <w:rsid w:val="54D77655"/>
    <w:rsid w:val="57811AFA"/>
    <w:rsid w:val="58EB1921"/>
    <w:rsid w:val="58FFC4E7"/>
    <w:rsid w:val="5AE64A95"/>
    <w:rsid w:val="5AFC0238"/>
    <w:rsid w:val="5B7F6781"/>
    <w:rsid w:val="5D437F7D"/>
    <w:rsid w:val="5D867E6A"/>
    <w:rsid w:val="5DC310BE"/>
    <w:rsid w:val="5DF2158B"/>
    <w:rsid w:val="5EEE5CC7"/>
    <w:rsid w:val="5F074FDA"/>
    <w:rsid w:val="5F9957FF"/>
    <w:rsid w:val="5FFBC513"/>
    <w:rsid w:val="60C43183"/>
    <w:rsid w:val="61DF1D14"/>
    <w:rsid w:val="635D78BF"/>
    <w:rsid w:val="65FE7137"/>
    <w:rsid w:val="676236F6"/>
    <w:rsid w:val="69DE776B"/>
    <w:rsid w:val="6AE10DD5"/>
    <w:rsid w:val="6D9739CD"/>
    <w:rsid w:val="6EAF0DA4"/>
    <w:rsid w:val="6EB7E0CF"/>
    <w:rsid w:val="715916C6"/>
    <w:rsid w:val="7437C6CA"/>
    <w:rsid w:val="7544443B"/>
    <w:rsid w:val="77FD5E2C"/>
    <w:rsid w:val="7AE446F6"/>
    <w:rsid w:val="7C69326D"/>
    <w:rsid w:val="7CF84488"/>
    <w:rsid w:val="7D7252D8"/>
    <w:rsid w:val="7DB859C6"/>
    <w:rsid w:val="7DF09F7A"/>
    <w:rsid w:val="7DF74C46"/>
    <w:rsid w:val="7DFEF5F1"/>
    <w:rsid w:val="7E6D2060"/>
    <w:rsid w:val="7E747B3F"/>
    <w:rsid w:val="7EAF654F"/>
    <w:rsid w:val="7F345520"/>
    <w:rsid w:val="7F5ECE58"/>
    <w:rsid w:val="7F6AA0AC"/>
    <w:rsid w:val="7F77F3C6"/>
    <w:rsid w:val="7FBFF07F"/>
    <w:rsid w:val="7FC56178"/>
    <w:rsid w:val="7FDF192E"/>
    <w:rsid w:val="85CE3A35"/>
    <w:rsid w:val="9E6D93AC"/>
    <w:rsid w:val="9FBFAE20"/>
    <w:rsid w:val="A7FF0F38"/>
    <w:rsid w:val="AF7F8810"/>
    <w:rsid w:val="BF7D90F9"/>
    <w:rsid w:val="C5F6668D"/>
    <w:rsid w:val="CF7763B7"/>
    <w:rsid w:val="CFBF73AD"/>
    <w:rsid w:val="D395C4FF"/>
    <w:rsid w:val="D3FF9EAC"/>
    <w:rsid w:val="DFF460D5"/>
    <w:rsid w:val="DFFE90C3"/>
    <w:rsid w:val="DFFFE99F"/>
    <w:rsid w:val="E6F7F812"/>
    <w:rsid w:val="E85F1096"/>
    <w:rsid w:val="EEFEB525"/>
    <w:rsid w:val="F277D32D"/>
    <w:rsid w:val="F5174D62"/>
    <w:rsid w:val="F6FD5680"/>
    <w:rsid w:val="F7AD7055"/>
    <w:rsid w:val="F7BE1EA6"/>
    <w:rsid w:val="F7FDC005"/>
    <w:rsid w:val="F7FE7DC6"/>
    <w:rsid w:val="F8F0515A"/>
    <w:rsid w:val="F9E43223"/>
    <w:rsid w:val="F9FF7A40"/>
    <w:rsid w:val="FAB3EA02"/>
    <w:rsid w:val="FBFBCD13"/>
    <w:rsid w:val="FC698765"/>
    <w:rsid w:val="FCFB5D0F"/>
    <w:rsid w:val="FDF75100"/>
    <w:rsid w:val="FDFB644F"/>
    <w:rsid w:val="FE3F4CD6"/>
    <w:rsid w:val="FEE320B2"/>
    <w:rsid w:val="FF16A1DA"/>
    <w:rsid w:val="FFADB5AE"/>
    <w:rsid w:val="FFB73C23"/>
    <w:rsid w:val="FFBF50AB"/>
    <w:rsid w:val="FFD75908"/>
    <w:rsid w:val="FFDA1A14"/>
    <w:rsid w:val="FFEFF090"/>
    <w:rsid w:val="FFF39F8A"/>
    <w:rsid w:val="FFFE9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 w:afterLines="0" w:afterAutospacing="0"/>
    </w:pPr>
  </w:style>
  <w:style w:type="paragraph" w:styleId="3">
    <w:name w:val="Plain Text"/>
    <w:basedOn w:val="1"/>
    <w:link w:val="14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等线" w:cs="Times New Roman"/>
      <w:kern w:val="2"/>
      <w:sz w:val="21"/>
      <w:szCs w:val="20"/>
      <w:lang w:val="en-US" w:eastAsia="zh-CN" w:bidi="ar"/>
    </w:r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正文文本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纯文本 字符1"/>
    <w:basedOn w:val="9"/>
    <w:link w:val="3"/>
    <w:qFormat/>
    <w:uiPriority w:val="0"/>
    <w:rPr>
      <w:rFonts w:hint="eastAsia" w:ascii="宋体" w:hAnsi="Courier New" w:eastAsia="等线" w:cs="宋体"/>
      <w:kern w:val="2"/>
      <w:sz w:val="21"/>
    </w:rPr>
  </w:style>
  <w:style w:type="character" w:customStyle="1" w:styleId="15">
    <w:name w:val="纯文本 字符"/>
    <w:basedOn w:val="9"/>
    <w:qFormat/>
    <w:uiPriority w:val="0"/>
    <w:rPr>
      <w:rFonts w:hint="eastAsia" w:ascii="等线" w:hAnsi="Courier New" w:eastAsia="等线" w:cs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1097</Characters>
  <Lines>9</Lines>
  <Paragraphs>2</Paragraphs>
  <TotalTime>3</TotalTime>
  <ScaleCrop>false</ScaleCrop>
  <LinksUpToDate>false</LinksUpToDate>
  <CharactersWithSpaces>1287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Administrator</dc:creator>
  <cp:lastModifiedBy>user</cp:lastModifiedBy>
  <cp:lastPrinted>2024-11-01T07:55:00Z</cp:lastPrinted>
  <dcterms:modified xsi:type="dcterms:W3CDTF">2024-11-12T10:12:25Z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549BDBA35BFE46A0BD527E3513DD675F_12</vt:lpwstr>
  </property>
</Properties>
</file>